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4101B" w14:textId="77777777" w:rsidR="009F6A04" w:rsidRDefault="007F1A7F" w:rsidP="009F6A04">
      <w:r>
        <w:rPr>
          <w:noProof/>
        </w:rPr>
        <w:drawing>
          <wp:anchor distT="0" distB="0" distL="114300" distR="114300" simplePos="0" relativeHeight="251661312" behindDoc="0" locked="0" layoutInCell="1" allowOverlap="1" wp14:anchorId="57B8D682" wp14:editId="690A268B">
            <wp:simplePos x="0" y="0"/>
            <wp:positionH relativeFrom="column">
              <wp:posOffset>3990975</wp:posOffset>
            </wp:positionH>
            <wp:positionV relativeFrom="paragraph">
              <wp:posOffset>-234950</wp:posOffset>
            </wp:positionV>
            <wp:extent cx="2383790" cy="993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3790" cy="9937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575A339" wp14:editId="4D039DCB">
            <wp:simplePos x="0" y="0"/>
            <wp:positionH relativeFrom="column">
              <wp:posOffset>866775</wp:posOffset>
            </wp:positionH>
            <wp:positionV relativeFrom="paragraph">
              <wp:posOffset>-281940</wp:posOffset>
            </wp:positionV>
            <wp:extent cx="2933700" cy="948690"/>
            <wp:effectExtent l="0" t="0" r="0" b="3810"/>
            <wp:wrapNone/>
            <wp:docPr id="3" name="Picture 3" descr="ICC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CA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9486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EC957A7" wp14:editId="2D347284">
            <wp:simplePos x="0" y="0"/>
            <wp:positionH relativeFrom="column">
              <wp:posOffset>-314325</wp:posOffset>
            </wp:positionH>
            <wp:positionV relativeFrom="paragraph">
              <wp:posOffset>-457200</wp:posOffset>
            </wp:positionV>
            <wp:extent cx="857250" cy="1609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1609725"/>
                    </a:xfrm>
                    <a:prstGeom prst="rect">
                      <a:avLst/>
                    </a:prstGeom>
                    <a:noFill/>
                  </pic:spPr>
                </pic:pic>
              </a:graphicData>
            </a:graphic>
            <wp14:sizeRelH relativeFrom="page">
              <wp14:pctWidth>0</wp14:pctWidth>
            </wp14:sizeRelH>
            <wp14:sizeRelV relativeFrom="page">
              <wp14:pctHeight>0</wp14:pctHeight>
            </wp14:sizeRelV>
          </wp:anchor>
        </w:drawing>
      </w:r>
    </w:p>
    <w:p w14:paraId="553A858B" w14:textId="77777777" w:rsidR="009F6A04" w:rsidRDefault="009F6A04" w:rsidP="009F6A04"/>
    <w:p w14:paraId="41220601" w14:textId="77777777" w:rsidR="009F6A04" w:rsidRDefault="009F6A04" w:rsidP="009F6A04">
      <w:pPr>
        <w:autoSpaceDE w:val="0"/>
        <w:autoSpaceDN w:val="0"/>
        <w:adjustRightInd w:val="0"/>
        <w:spacing w:after="0" w:line="240" w:lineRule="auto"/>
        <w:rPr>
          <w:rFonts w:ascii="Calibri" w:hAnsi="Calibri" w:cs="Calibri"/>
          <w:color w:val="000000"/>
          <w:sz w:val="24"/>
          <w:szCs w:val="24"/>
        </w:rPr>
      </w:pPr>
    </w:p>
    <w:p w14:paraId="514D2C67" w14:textId="77777777" w:rsidR="009F6A04" w:rsidRDefault="009F6A04" w:rsidP="009F6A04">
      <w:pPr>
        <w:autoSpaceDE w:val="0"/>
        <w:autoSpaceDN w:val="0"/>
        <w:adjustRightInd w:val="0"/>
        <w:spacing w:after="0" w:line="240" w:lineRule="auto"/>
        <w:rPr>
          <w:sz w:val="24"/>
          <w:szCs w:val="24"/>
        </w:rPr>
      </w:pPr>
    </w:p>
    <w:p w14:paraId="18AD55AB" w14:textId="77777777" w:rsidR="009F6A04" w:rsidRDefault="009F6A04" w:rsidP="009F6A04">
      <w:pPr>
        <w:autoSpaceDE w:val="0"/>
        <w:autoSpaceDN w:val="0"/>
        <w:adjustRightInd w:val="0"/>
        <w:spacing w:after="0" w:line="240" w:lineRule="auto"/>
        <w:rPr>
          <w:sz w:val="24"/>
          <w:szCs w:val="24"/>
        </w:rPr>
      </w:pPr>
    </w:p>
    <w:p w14:paraId="4CBC4A53" w14:textId="77777777" w:rsidR="009F6A04" w:rsidRDefault="009F6A04" w:rsidP="009F6A04">
      <w:pPr>
        <w:autoSpaceDE w:val="0"/>
        <w:autoSpaceDN w:val="0"/>
        <w:adjustRightInd w:val="0"/>
        <w:spacing w:after="0" w:line="240" w:lineRule="auto"/>
        <w:rPr>
          <w:sz w:val="24"/>
          <w:szCs w:val="24"/>
        </w:rPr>
      </w:pPr>
    </w:p>
    <w:p w14:paraId="6E7C3DBF" w14:textId="77777777" w:rsidR="009F6A04" w:rsidRDefault="009F6A04" w:rsidP="009F6A04">
      <w:pPr>
        <w:jc w:val="center"/>
        <w:rPr>
          <w:b/>
          <w:bCs/>
          <w:sz w:val="23"/>
          <w:szCs w:val="23"/>
        </w:rPr>
      </w:pPr>
    </w:p>
    <w:p w14:paraId="2F59C24C" w14:textId="77777777" w:rsidR="008C3916" w:rsidRDefault="004372B7" w:rsidP="009F6A04">
      <w:pPr>
        <w:jc w:val="center"/>
        <w:rPr>
          <w:b/>
          <w:bCs/>
          <w:sz w:val="32"/>
          <w:szCs w:val="32"/>
        </w:rPr>
      </w:pPr>
      <w:r>
        <w:rPr>
          <w:b/>
          <w:bCs/>
          <w:sz w:val="32"/>
          <w:szCs w:val="32"/>
        </w:rPr>
        <w:t>THEMATIC REPORT</w:t>
      </w:r>
      <w:r w:rsidR="009F6A04">
        <w:rPr>
          <w:b/>
          <w:bCs/>
          <w:sz w:val="32"/>
          <w:szCs w:val="32"/>
        </w:rPr>
        <w:t>: ICCAS PROJECT</w:t>
      </w:r>
    </w:p>
    <w:p w14:paraId="217FA578" w14:textId="77777777" w:rsidR="009F6A04" w:rsidRDefault="00136DC3" w:rsidP="009F6A04">
      <w:pPr>
        <w:jc w:val="center"/>
        <w:rPr>
          <w:b/>
          <w:bCs/>
          <w:sz w:val="32"/>
          <w:szCs w:val="32"/>
        </w:rPr>
      </w:pPr>
      <w:r>
        <w:rPr>
          <w:b/>
          <w:bCs/>
          <w:sz w:val="32"/>
          <w:szCs w:val="32"/>
        </w:rPr>
        <w:t xml:space="preserve">AGRICULTURE: </w:t>
      </w:r>
    </w:p>
    <w:p w14:paraId="38FBA77D" w14:textId="77777777" w:rsidR="009F6A04" w:rsidRPr="007F1A7F" w:rsidRDefault="00136DC3" w:rsidP="007F1A7F">
      <w:pPr>
        <w:jc w:val="center"/>
        <w:rPr>
          <w:b/>
          <w:i/>
          <w:sz w:val="28"/>
          <w:szCs w:val="28"/>
        </w:rPr>
      </w:pPr>
      <w:r w:rsidRPr="007F1A7F">
        <w:rPr>
          <w:b/>
          <w:bCs/>
          <w:i/>
          <w:sz w:val="36"/>
          <w:szCs w:val="36"/>
        </w:rPr>
        <w:t xml:space="preserve">Shifting the Focus to </w:t>
      </w:r>
      <w:r>
        <w:rPr>
          <w:b/>
          <w:bCs/>
          <w:i/>
          <w:sz w:val="36"/>
          <w:szCs w:val="36"/>
        </w:rPr>
        <w:t xml:space="preserve">using </w:t>
      </w:r>
      <w:r w:rsidRPr="007F1A7F">
        <w:rPr>
          <w:b/>
          <w:bCs/>
          <w:i/>
          <w:sz w:val="36"/>
          <w:szCs w:val="36"/>
        </w:rPr>
        <w:t>Climate Smart Agricultural Techniques</w:t>
      </w:r>
    </w:p>
    <w:p w14:paraId="29553769" w14:textId="77777777" w:rsidR="009F6A04" w:rsidRDefault="009F6A04" w:rsidP="009F6A04">
      <w:pPr>
        <w:spacing w:after="0"/>
        <w:jc w:val="center"/>
        <w:rPr>
          <w:b/>
          <w:sz w:val="28"/>
          <w:szCs w:val="28"/>
        </w:rPr>
      </w:pPr>
    </w:p>
    <w:p w14:paraId="453B782F" w14:textId="77777777" w:rsidR="009F6A04" w:rsidRDefault="00A92307" w:rsidP="009F6A04">
      <w:pPr>
        <w:spacing w:after="0"/>
        <w:jc w:val="center"/>
        <w:rPr>
          <w:b/>
          <w:sz w:val="28"/>
          <w:szCs w:val="28"/>
        </w:rPr>
      </w:pPr>
      <w:r>
        <w:rPr>
          <w:b/>
          <w:noProof/>
          <w:sz w:val="28"/>
          <w:szCs w:val="28"/>
        </w:rPr>
        <mc:AlternateContent>
          <mc:Choice Requires="wps">
            <w:drawing>
              <wp:anchor distT="0" distB="0" distL="114300" distR="114300" simplePos="0" relativeHeight="251659775" behindDoc="0" locked="0" layoutInCell="1" allowOverlap="1" wp14:anchorId="501A0B6B" wp14:editId="1234DD11">
                <wp:simplePos x="0" y="0"/>
                <wp:positionH relativeFrom="column">
                  <wp:posOffset>2011680</wp:posOffset>
                </wp:positionH>
                <wp:positionV relativeFrom="page">
                  <wp:posOffset>5577840</wp:posOffset>
                </wp:positionV>
                <wp:extent cx="434340" cy="137160"/>
                <wp:effectExtent l="0" t="0" r="22860" b="15240"/>
                <wp:wrapNone/>
                <wp:docPr id="8" name="Oval 8"/>
                <wp:cNvGraphicFramePr/>
                <a:graphic xmlns:a="http://schemas.openxmlformats.org/drawingml/2006/main">
                  <a:graphicData uri="http://schemas.microsoft.com/office/word/2010/wordprocessingShape">
                    <wps:wsp>
                      <wps:cNvSpPr/>
                      <wps:spPr>
                        <a:xfrm>
                          <a:off x="0" y="0"/>
                          <a:ext cx="434340" cy="137160"/>
                        </a:xfrm>
                        <a:prstGeom prst="ellipse">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84A081" id="Oval 8" o:spid="_x0000_s1026" style="position:absolute;margin-left:158.4pt;margin-top:439.2pt;width:34.2pt;height:10.8pt;z-index:25165977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" filled="f" strokecolor="black [3200]" strokeweight="1pt">
                <v:stroke joinstyle="miter"/>
                <w10:wrap anchory="page"/>
              </v:oval>
            </w:pict>
          </mc:Fallback>
        </mc:AlternateContent>
      </w:r>
      <w:r w:rsidRPr="00A92307">
        <w:rPr>
          <w:b/>
          <w:noProof/>
          <w:sz w:val="28"/>
          <w:szCs w:val="28"/>
        </w:rPr>
        <w:drawing>
          <wp:inline distT="0" distB="0" distL="0" distR="0" wp14:anchorId="11119CCF" wp14:editId="6BB97D8C">
            <wp:extent cx="2222731" cy="1731218"/>
            <wp:effectExtent l="0" t="0" r="635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5335" cy="1741035"/>
                    </a:xfrm>
                    <a:prstGeom prst="rect">
                      <a:avLst/>
                    </a:prstGeom>
                    <a:noFill/>
                    <a:ln>
                      <a:noFill/>
                    </a:ln>
                  </pic:spPr>
                </pic:pic>
              </a:graphicData>
            </a:graphic>
          </wp:inline>
        </w:drawing>
      </w:r>
      <w:r>
        <w:rPr>
          <w:b/>
          <w:noProof/>
          <w:sz w:val="28"/>
          <w:szCs w:val="28"/>
        </w:rPr>
        <w:t xml:space="preserve"> </w:t>
      </w:r>
      <w:r w:rsidR="00136DC3">
        <w:rPr>
          <w:b/>
          <w:noProof/>
          <w:sz w:val="28"/>
          <w:szCs w:val="28"/>
        </w:rPr>
        <w:t xml:space="preserve"> </w:t>
      </w:r>
      <w:r w:rsidR="002F7D20" w:rsidRPr="002F7D20">
        <w:rPr>
          <w:noProof/>
        </w:rPr>
        <w:drawing>
          <wp:inline distT="0" distB="0" distL="0" distR="0" wp14:anchorId="46126795" wp14:editId="4B1CA58E">
            <wp:extent cx="2331720" cy="1748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31720" cy="1748790"/>
                    </a:xfrm>
                    <a:prstGeom prst="rect">
                      <a:avLst/>
                    </a:prstGeom>
                  </pic:spPr>
                </pic:pic>
              </a:graphicData>
            </a:graphic>
          </wp:inline>
        </w:drawing>
      </w:r>
      <w:r w:rsidR="002F7D20" w:rsidRPr="002F7D20" w:rsidDel="005209A0">
        <w:t xml:space="preserve"> </w:t>
      </w:r>
    </w:p>
    <w:p w14:paraId="157E7007" w14:textId="77777777" w:rsidR="009F6A04" w:rsidRDefault="009F6A04" w:rsidP="009F6A04">
      <w:pPr>
        <w:spacing w:after="0"/>
        <w:jc w:val="center"/>
        <w:rPr>
          <w:b/>
          <w:sz w:val="28"/>
          <w:szCs w:val="28"/>
        </w:rPr>
      </w:pPr>
    </w:p>
    <w:p w14:paraId="2E9C84ED" w14:textId="77777777" w:rsidR="009F6A04" w:rsidRDefault="009F6A04" w:rsidP="009F6A04">
      <w:pPr>
        <w:spacing w:after="0"/>
        <w:jc w:val="center"/>
        <w:rPr>
          <w:b/>
          <w:sz w:val="28"/>
          <w:szCs w:val="28"/>
        </w:rPr>
      </w:pPr>
    </w:p>
    <w:p w14:paraId="45A43D68" w14:textId="77777777" w:rsidR="009F6A04" w:rsidRDefault="009F6A04" w:rsidP="009F6A04">
      <w:pPr>
        <w:spacing w:after="0"/>
        <w:jc w:val="center"/>
        <w:rPr>
          <w:b/>
          <w:sz w:val="28"/>
          <w:szCs w:val="28"/>
        </w:rPr>
      </w:pPr>
    </w:p>
    <w:p w14:paraId="48D4994B" w14:textId="77777777" w:rsidR="009F6A04" w:rsidRDefault="009F6A04" w:rsidP="009F6A04">
      <w:pPr>
        <w:spacing w:after="0"/>
        <w:jc w:val="center"/>
        <w:rPr>
          <w:b/>
          <w:sz w:val="28"/>
          <w:szCs w:val="28"/>
        </w:rPr>
      </w:pPr>
    </w:p>
    <w:p w14:paraId="1F09BC46" w14:textId="77777777" w:rsidR="009F6A04" w:rsidRDefault="009F6A04" w:rsidP="009F6A04">
      <w:pPr>
        <w:spacing w:after="0"/>
        <w:jc w:val="center"/>
        <w:rPr>
          <w:b/>
          <w:sz w:val="28"/>
          <w:szCs w:val="28"/>
        </w:rPr>
      </w:pPr>
      <w:r>
        <w:rPr>
          <w:b/>
          <w:sz w:val="28"/>
          <w:szCs w:val="28"/>
        </w:rPr>
        <w:t xml:space="preserve">Submitted </w:t>
      </w:r>
    </w:p>
    <w:p w14:paraId="53887DBB" w14:textId="77777777" w:rsidR="009F6A04" w:rsidRDefault="009F6A04" w:rsidP="009F6A04">
      <w:pPr>
        <w:jc w:val="center"/>
      </w:pPr>
      <w:r>
        <w:t>By</w:t>
      </w:r>
    </w:p>
    <w:p w14:paraId="364C4088" w14:textId="77777777" w:rsidR="009F6A04" w:rsidRDefault="009F6A04" w:rsidP="009F6A04">
      <w:pPr>
        <w:spacing w:after="0"/>
        <w:jc w:val="center"/>
        <w:rPr>
          <w:b/>
          <w:sz w:val="28"/>
          <w:szCs w:val="28"/>
        </w:rPr>
      </w:pPr>
      <w:r>
        <w:rPr>
          <w:b/>
          <w:sz w:val="28"/>
          <w:szCs w:val="28"/>
        </w:rPr>
        <w:t>David A. Simmons</w:t>
      </w:r>
    </w:p>
    <w:p w14:paraId="265473D4" w14:textId="77777777" w:rsidR="009F6A04" w:rsidRDefault="009F6A04" w:rsidP="009F6A04">
      <w:pPr>
        <w:spacing w:after="0"/>
        <w:jc w:val="center"/>
      </w:pPr>
      <w:r>
        <w:t>92A Benjamin St., Diego Martin</w:t>
      </w:r>
    </w:p>
    <w:p w14:paraId="10EC5E5D" w14:textId="77777777" w:rsidR="009F6A04" w:rsidRDefault="009F6A04" w:rsidP="009F6A04">
      <w:pPr>
        <w:jc w:val="center"/>
      </w:pPr>
      <w:r>
        <w:t>Trinidad and Tobago</w:t>
      </w:r>
    </w:p>
    <w:p w14:paraId="56ECE129" w14:textId="77777777" w:rsidR="009F6A04" w:rsidRPr="009F6A04" w:rsidRDefault="009F6A04" w:rsidP="009F6A04">
      <w:pPr>
        <w:jc w:val="center"/>
        <w:rPr>
          <w:b/>
        </w:rPr>
        <w:sectPr w:rsidR="009F6A04" w:rsidRPr="009F6A04" w:rsidSect="00D626AD">
          <w:footerReference w:type="default" r:id="rId13"/>
          <w:pgSz w:w="12240" w:h="15840"/>
          <w:pgMar w:top="1440" w:right="1440" w:bottom="1440" w:left="1440" w:header="708" w:footer="708" w:gutter="0"/>
          <w:pgBorders w:display="firstPage" w:offsetFrom="page">
            <w:top w:val="triple" w:sz="4" w:space="24" w:color="00B050" w:shadow="1"/>
            <w:left w:val="triple" w:sz="4" w:space="24" w:color="00B050" w:shadow="1"/>
            <w:bottom w:val="triple" w:sz="4" w:space="24" w:color="00B050" w:shadow="1"/>
            <w:right w:val="triple" w:sz="4" w:space="24" w:color="00B050" w:shadow="1"/>
          </w:pgBorders>
          <w:pgNumType w:start="1"/>
          <w:cols w:space="720"/>
          <w:titlePg/>
          <w:docGrid w:linePitch="299"/>
        </w:sectPr>
      </w:pPr>
      <w:r>
        <w:rPr>
          <w:b/>
        </w:rPr>
        <w:t xml:space="preserve">Email: </w:t>
      </w:r>
      <w:hyperlink r:id="rId14" w:history="1">
        <w:r>
          <w:rPr>
            <w:rStyle w:val="Hyperlink"/>
            <w:b/>
          </w:rPr>
          <w:t>davidAsimmons@outlook.com</w:t>
        </w:r>
      </w:hyperlink>
    </w:p>
    <w:tbl>
      <w:tblPr>
        <w:tblStyle w:val="TableGrid"/>
        <w:tblW w:w="0" w:type="auto"/>
        <w:tblLook w:val="04A0" w:firstRow="1" w:lastRow="0" w:firstColumn="1" w:lastColumn="0" w:noHBand="0" w:noVBand="1"/>
      </w:tblPr>
      <w:tblGrid>
        <w:gridCol w:w="3022"/>
        <w:gridCol w:w="2844"/>
        <w:gridCol w:w="1328"/>
        <w:gridCol w:w="2701"/>
      </w:tblGrid>
      <w:tr w:rsidR="00F24233" w14:paraId="480FFC9A" w14:textId="77777777" w:rsidTr="007F1A7F">
        <w:tc>
          <w:tcPr>
            <w:tcW w:w="9895" w:type="dxa"/>
            <w:gridSpan w:val="4"/>
          </w:tcPr>
          <w:p w14:paraId="5886D7C1" w14:textId="77777777" w:rsidR="00F24233" w:rsidRPr="00F24233" w:rsidRDefault="00F24233" w:rsidP="00F24233">
            <w:pPr>
              <w:pStyle w:val="Default"/>
              <w:jc w:val="center"/>
              <w:rPr>
                <w:b/>
                <w:bCs/>
                <w:sz w:val="28"/>
                <w:szCs w:val="28"/>
              </w:rPr>
            </w:pPr>
            <w:r w:rsidRPr="00F24233">
              <w:rPr>
                <w:b/>
                <w:sz w:val="28"/>
                <w:szCs w:val="28"/>
              </w:rPr>
              <w:lastRenderedPageBreak/>
              <w:t>Integrated Climate Change Adaptation Strategies (ICCAS</w:t>
            </w:r>
            <w:r w:rsidR="005F54E8">
              <w:rPr>
                <w:b/>
                <w:sz w:val="28"/>
                <w:szCs w:val="28"/>
              </w:rPr>
              <w:t>)</w:t>
            </w:r>
            <w:r w:rsidR="002820AE">
              <w:rPr>
                <w:b/>
                <w:sz w:val="28"/>
                <w:szCs w:val="28"/>
              </w:rPr>
              <w:t xml:space="preserve">: </w:t>
            </w:r>
            <w:r w:rsidR="00711DEA">
              <w:rPr>
                <w:b/>
                <w:sz w:val="28"/>
                <w:szCs w:val="28"/>
              </w:rPr>
              <w:t>Thematic Report</w:t>
            </w:r>
          </w:p>
        </w:tc>
      </w:tr>
      <w:tr w:rsidR="00F24233" w14:paraId="4056DB30" w14:textId="77777777" w:rsidTr="007F1A7F">
        <w:tc>
          <w:tcPr>
            <w:tcW w:w="5866" w:type="dxa"/>
            <w:gridSpan w:val="2"/>
          </w:tcPr>
          <w:p w14:paraId="285A7298" w14:textId="0F18FA92" w:rsidR="00F24233" w:rsidRPr="00522C59" w:rsidRDefault="00B02FE9" w:rsidP="00E65FF2">
            <w:pPr>
              <w:pStyle w:val="Default"/>
              <w:ind w:left="1500" w:hanging="1440"/>
              <w:rPr>
                <w:b/>
                <w:bCs/>
                <w:sz w:val="22"/>
                <w:szCs w:val="22"/>
              </w:rPr>
            </w:pPr>
            <w:r w:rsidRPr="00522C59">
              <w:rPr>
                <w:b/>
                <w:bCs/>
                <w:sz w:val="22"/>
                <w:szCs w:val="22"/>
              </w:rPr>
              <w:t>Thematic Area</w:t>
            </w:r>
            <w:r w:rsidR="00F24233" w:rsidRPr="00522C59">
              <w:rPr>
                <w:b/>
                <w:bCs/>
                <w:sz w:val="22"/>
                <w:szCs w:val="22"/>
              </w:rPr>
              <w:t>:</w:t>
            </w:r>
            <w:r w:rsidR="00194546" w:rsidRPr="00522C59">
              <w:rPr>
                <w:b/>
                <w:bCs/>
                <w:sz w:val="22"/>
                <w:szCs w:val="22"/>
              </w:rPr>
              <w:t xml:space="preserve"> </w:t>
            </w:r>
            <w:r w:rsidR="005F72D6">
              <w:t xml:space="preserve">Agriculture: Shifting the Focus to </w:t>
            </w:r>
            <w:r w:rsidR="00E65FF2">
              <w:t>U</w:t>
            </w:r>
            <w:r w:rsidR="005F72D6">
              <w:t>sing Climate Smart Agriculture</w:t>
            </w:r>
          </w:p>
        </w:tc>
        <w:tc>
          <w:tcPr>
            <w:tcW w:w="4029" w:type="dxa"/>
            <w:gridSpan w:val="2"/>
          </w:tcPr>
          <w:p w14:paraId="30EAF21C" w14:textId="77777777" w:rsidR="00F24233" w:rsidRPr="00522C59" w:rsidRDefault="00194546" w:rsidP="00F24233">
            <w:pPr>
              <w:pStyle w:val="Default"/>
              <w:rPr>
                <w:b/>
                <w:bCs/>
                <w:sz w:val="22"/>
                <w:szCs w:val="22"/>
              </w:rPr>
            </w:pPr>
            <w:r w:rsidRPr="00522C59">
              <w:rPr>
                <w:b/>
                <w:bCs/>
                <w:sz w:val="22"/>
                <w:szCs w:val="22"/>
              </w:rPr>
              <w:t>Period</w:t>
            </w:r>
            <w:r w:rsidR="00F24233" w:rsidRPr="00522C59">
              <w:rPr>
                <w:b/>
                <w:bCs/>
                <w:sz w:val="22"/>
                <w:szCs w:val="22"/>
              </w:rPr>
              <w:t>:</w:t>
            </w:r>
            <w:r w:rsidRPr="00522C59">
              <w:rPr>
                <w:b/>
                <w:bCs/>
                <w:sz w:val="22"/>
                <w:szCs w:val="22"/>
              </w:rPr>
              <w:t xml:space="preserve"> </w:t>
            </w:r>
            <w:r w:rsidRPr="00522C59">
              <w:rPr>
                <w:bCs/>
                <w:sz w:val="22"/>
                <w:szCs w:val="22"/>
              </w:rPr>
              <w:t xml:space="preserve">January 2016 – </w:t>
            </w:r>
            <w:r w:rsidR="00711DEA" w:rsidRPr="00522C59">
              <w:rPr>
                <w:bCs/>
                <w:sz w:val="22"/>
                <w:szCs w:val="22"/>
              </w:rPr>
              <w:t>August 2017</w:t>
            </w:r>
          </w:p>
        </w:tc>
      </w:tr>
      <w:tr w:rsidR="00F24233" w14:paraId="7280D75E" w14:textId="77777777" w:rsidTr="007F1A7F">
        <w:tc>
          <w:tcPr>
            <w:tcW w:w="9895" w:type="dxa"/>
            <w:gridSpan w:val="4"/>
          </w:tcPr>
          <w:p w14:paraId="5F23910F" w14:textId="77777777" w:rsidR="00F24233" w:rsidRPr="00522C59" w:rsidRDefault="00F24233" w:rsidP="00F24233">
            <w:pPr>
              <w:pStyle w:val="Default"/>
              <w:jc w:val="center"/>
              <w:rPr>
                <w:b/>
                <w:bCs/>
                <w:sz w:val="22"/>
                <w:szCs w:val="22"/>
              </w:rPr>
            </w:pPr>
            <w:r w:rsidRPr="00522C59">
              <w:rPr>
                <w:b/>
                <w:bCs/>
                <w:sz w:val="22"/>
                <w:szCs w:val="22"/>
              </w:rPr>
              <w:t>IMPLEMENTING AGENCIES</w:t>
            </w:r>
          </w:p>
        </w:tc>
      </w:tr>
      <w:tr w:rsidR="00F24233" w14:paraId="0D4A9B07" w14:textId="77777777" w:rsidTr="007F1A7F">
        <w:tc>
          <w:tcPr>
            <w:tcW w:w="3022" w:type="dxa"/>
          </w:tcPr>
          <w:p w14:paraId="53D33911" w14:textId="77777777" w:rsidR="00F24233" w:rsidRPr="00522C59" w:rsidRDefault="00F24233" w:rsidP="00F24233">
            <w:pPr>
              <w:pStyle w:val="Default"/>
              <w:rPr>
                <w:b/>
                <w:bCs/>
                <w:sz w:val="22"/>
                <w:szCs w:val="22"/>
              </w:rPr>
            </w:pPr>
            <w:r w:rsidRPr="00522C59">
              <w:rPr>
                <w:sz w:val="22"/>
                <w:szCs w:val="22"/>
              </w:rPr>
              <w:t>United National Development Programme (UNDP)</w:t>
            </w:r>
          </w:p>
        </w:tc>
        <w:tc>
          <w:tcPr>
            <w:tcW w:w="4172" w:type="dxa"/>
            <w:gridSpan w:val="2"/>
          </w:tcPr>
          <w:p w14:paraId="69412E32" w14:textId="77777777" w:rsidR="00F24233" w:rsidRPr="00A34A9B" w:rsidRDefault="00A34A9B" w:rsidP="00F24233">
            <w:pPr>
              <w:ind w:right="75"/>
              <w:rPr>
                <w:bCs/>
              </w:rPr>
            </w:pPr>
            <w:r w:rsidRPr="00A34A9B">
              <w:rPr>
                <w:bCs/>
              </w:rPr>
              <w:t>The Environment Unit of the Ministry of Agriculture, Lands, Forestry, Fisheries and the Environment</w:t>
            </w:r>
          </w:p>
        </w:tc>
        <w:tc>
          <w:tcPr>
            <w:tcW w:w="2701" w:type="dxa"/>
          </w:tcPr>
          <w:p w14:paraId="04961906" w14:textId="77777777" w:rsidR="00F24233" w:rsidRPr="00522C59" w:rsidRDefault="00F24233" w:rsidP="00F24233">
            <w:pPr>
              <w:ind w:right="76"/>
              <w:rPr>
                <w:b/>
                <w:bCs/>
              </w:rPr>
            </w:pPr>
            <w:r w:rsidRPr="00522C59">
              <w:t>German Development Cooperation (GIZ)</w:t>
            </w:r>
            <w:r w:rsidR="00F3302A" w:rsidRPr="00522C59">
              <w:t>, BMUB</w:t>
            </w:r>
          </w:p>
        </w:tc>
      </w:tr>
    </w:tbl>
    <w:tbl>
      <w:tblPr>
        <w:tblStyle w:val="TableGrid1"/>
        <w:tblW w:w="0" w:type="auto"/>
        <w:tblLook w:val="04A0" w:firstRow="1" w:lastRow="0" w:firstColumn="1" w:lastColumn="0" w:noHBand="0" w:noVBand="1"/>
      </w:tblPr>
      <w:tblGrid>
        <w:gridCol w:w="2418"/>
        <w:gridCol w:w="7478"/>
      </w:tblGrid>
      <w:tr w:rsidR="00034512" w:rsidRPr="00B02FE9" w14:paraId="6573CFC2" w14:textId="77777777" w:rsidTr="00A92CC6">
        <w:tc>
          <w:tcPr>
            <w:tcW w:w="2418" w:type="dxa"/>
          </w:tcPr>
          <w:p w14:paraId="022A1697" w14:textId="77777777" w:rsidR="00B02FE9" w:rsidRPr="00522C59" w:rsidRDefault="00B02FE9" w:rsidP="005117C6">
            <w:pPr>
              <w:spacing w:line="259" w:lineRule="auto"/>
              <w:rPr>
                <w:b/>
              </w:rPr>
            </w:pPr>
            <w:r w:rsidRPr="00522C59">
              <w:rPr>
                <w:b/>
              </w:rPr>
              <w:t>Context</w:t>
            </w:r>
          </w:p>
        </w:tc>
        <w:tc>
          <w:tcPr>
            <w:tcW w:w="7478" w:type="dxa"/>
          </w:tcPr>
          <w:p w14:paraId="23B1576E" w14:textId="77777777" w:rsidR="00B02FE9" w:rsidRPr="007F1A7F" w:rsidRDefault="005423A7" w:rsidP="005209A0">
            <w:pPr>
              <w:pStyle w:val="Default"/>
              <w:spacing w:after="120"/>
              <w:jc w:val="both"/>
              <w:rPr>
                <w:bCs/>
                <w:sz w:val="22"/>
                <w:szCs w:val="22"/>
              </w:rPr>
            </w:pPr>
            <w:r w:rsidRPr="005423A7">
              <w:rPr>
                <w:bCs/>
                <w:sz w:val="22"/>
                <w:szCs w:val="22"/>
              </w:rPr>
              <w:t xml:space="preserve">The objective of the ICCAS programme was to enhance the resilience of Grenada’s population and its ecosystems that are particularly vulnerable to the effects of climate change. </w:t>
            </w:r>
            <w:r w:rsidR="005209A0" w:rsidRPr="005209A0">
              <w:rPr>
                <w:bCs/>
                <w:sz w:val="22"/>
                <w:szCs w:val="22"/>
              </w:rPr>
              <w:t>Agriculture, including fisheries, currently accounts for 5% of Grenada’s gross domestic product (GDP) and employs 13% of the economically active population. The sector contributes 2.4% and 11.2% to the total value of the country’s total exports and imports, respectively (2007–2011). Despite its small size, the agricultural sector has experienced more growth over the past few years than other sectors.  Known world-wide as the Spice Island, spices such as nutmeg and mace have been the country’s principal export.  However, hurricanes Ivan and Emily in 2004 and 2005 destroyed 90% of the nutmeg plantations on the island, and production has still not recovered to pre-hurricane levels.</w:t>
            </w:r>
            <w:r w:rsidR="00136DC3">
              <w:rPr>
                <w:bCs/>
                <w:sz w:val="22"/>
                <w:szCs w:val="22"/>
              </w:rPr>
              <w:t xml:space="preserve"> Additionally, Grenada has very little surface water and due to climate change is experiencing a reduction in rainfall levels</w:t>
            </w:r>
            <w:r w:rsidR="00E35B45">
              <w:rPr>
                <w:bCs/>
                <w:sz w:val="22"/>
                <w:szCs w:val="22"/>
              </w:rPr>
              <w:t xml:space="preserve"> which of course has a direct impact on agricultural production</w:t>
            </w:r>
            <w:r w:rsidR="00136DC3">
              <w:rPr>
                <w:bCs/>
                <w:sz w:val="22"/>
                <w:szCs w:val="22"/>
              </w:rPr>
              <w:t xml:space="preserve">. </w:t>
            </w:r>
            <w:r w:rsidR="00E35B45">
              <w:rPr>
                <w:bCs/>
                <w:sz w:val="22"/>
                <w:szCs w:val="22"/>
              </w:rPr>
              <w:t xml:space="preserve">In </w:t>
            </w:r>
            <w:r w:rsidR="00343B51">
              <w:rPr>
                <w:bCs/>
                <w:sz w:val="22"/>
                <w:szCs w:val="22"/>
              </w:rPr>
              <w:t>fact,</w:t>
            </w:r>
            <w:r w:rsidR="00136DC3">
              <w:rPr>
                <w:bCs/>
                <w:sz w:val="22"/>
                <w:szCs w:val="22"/>
              </w:rPr>
              <w:t xml:space="preserve"> </w:t>
            </w:r>
            <w:r w:rsidR="00E35B45">
              <w:rPr>
                <w:bCs/>
                <w:sz w:val="22"/>
                <w:szCs w:val="22"/>
              </w:rPr>
              <w:t>i</w:t>
            </w:r>
            <w:r w:rsidR="00136DC3">
              <w:rPr>
                <w:bCs/>
                <w:sz w:val="22"/>
                <w:szCs w:val="22"/>
              </w:rPr>
              <w:t xml:space="preserve">n </w:t>
            </w:r>
            <w:r w:rsidR="005209A0" w:rsidRPr="005209A0">
              <w:rPr>
                <w:bCs/>
                <w:sz w:val="22"/>
                <w:szCs w:val="22"/>
              </w:rPr>
              <w:t xml:space="preserve">2010, the country suffered the first drought in its history, with serious effects on agricultural production.  </w:t>
            </w:r>
            <w:r w:rsidR="00686064">
              <w:rPr>
                <w:bCs/>
                <w:sz w:val="22"/>
                <w:szCs w:val="22"/>
              </w:rPr>
              <w:t>The climate change impacts and resulting challenges require that the country take cognizance of its vulnerabilities and adopt strategies which would build resilience in the agricultural sector.</w:t>
            </w:r>
          </w:p>
        </w:tc>
      </w:tr>
      <w:tr w:rsidR="00034512" w:rsidRPr="00B02FE9" w14:paraId="0A30546E" w14:textId="77777777" w:rsidTr="00735635">
        <w:tc>
          <w:tcPr>
            <w:tcW w:w="2418" w:type="dxa"/>
            <w:tcBorders>
              <w:bottom w:val="single" w:sz="4" w:space="0" w:color="auto"/>
            </w:tcBorders>
          </w:tcPr>
          <w:p w14:paraId="26F62A2F" w14:textId="77777777" w:rsidR="00B02FE9" w:rsidRPr="00522C59" w:rsidRDefault="005209A0" w:rsidP="00B02FE9">
            <w:pPr>
              <w:spacing w:line="259" w:lineRule="auto"/>
              <w:rPr>
                <w:b/>
              </w:rPr>
            </w:pPr>
            <w:r>
              <w:rPr>
                <w:b/>
              </w:rPr>
              <w:t xml:space="preserve">Agricultural Projects: </w:t>
            </w:r>
            <w:r w:rsidR="00CA3E06">
              <w:rPr>
                <w:b/>
              </w:rPr>
              <w:t>Background</w:t>
            </w:r>
          </w:p>
        </w:tc>
        <w:tc>
          <w:tcPr>
            <w:tcW w:w="7478" w:type="dxa"/>
            <w:tcBorders>
              <w:bottom w:val="single" w:sz="4" w:space="0" w:color="auto"/>
            </w:tcBorders>
          </w:tcPr>
          <w:p w14:paraId="4CBD0558" w14:textId="77777777" w:rsidR="005423A7" w:rsidRDefault="005209A0" w:rsidP="005209A0">
            <w:pPr>
              <w:pStyle w:val="Default"/>
              <w:spacing w:after="120"/>
              <w:jc w:val="both"/>
              <w:rPr>
                <w:bCs/>
                <w:sz w:val="22"/>
                <w:szCs w:val="22"/>
              </w:rPr>
            </w:pPr>
            <w:r w:rsidRPr="005209A0">
              <w:rPr>
                <w:bCs/>
                <w:sz w:val="22"/>
                <w:szCs w:val="22"/>
              </w:rPr>
              <w:t>C</w:t>
            </w:r>
            <w:r w:rsidR="005423A7">
              <w:rPr>
                <w:bCs/>
                <w:sz w:val="22"/>
                <w:szCs w:val="22"/>
              </w:rPr>
              <w:t xml:space="preserve">limate </w:t>
            </w:r>
            <w:r w:rsidRPr="005209A0">
              <w:rPr>
                <w:bCs/>
                <w:sz w:val="22"/>
                <w:szCs w:val="22"/>
              </w:rPr>
              <w:t>S</w:t>
            </w:r>
            <w:r w:rsidR="005423A7">
              <w:rPr>
                <w:bCs/>
                <w:sz w:val="22"/>
                <w:szCs w:val="22"/>
              </w:rPr>
              <w:t xml:space="preserve">mart </w:t>
            </w:r>
            <w:r w:rsidRPr="005209A0">
              <w:rPr>
                <w:bCs/>
                <w:sz w:val="22"/>
                <w:szCs w:val="22"/>
              </w:rPr>
              <w:t>A</w:t>
            </w:r>
            <w:r w:rsidR="005423A7">
              <w:rPr>
                <w:bCs/>
                <w:sz w:val="22"/>
                <w:szCs w:val="22"/>
              </w:rPr>
              <w:t xml:space="preserve">griculture </w:t>
            </w:r>
            <w:r w:rsidR="00686064">
              <w:rPr>
                <w:bCs/>
                <w:sz w:val="22"/>
                <w:szCs w:val="22"/>
              </w:rPr>
              <w:t xml:space="preserve">(CSA) </w:t>
            </w:r>
            <w:r w:rsidR="00343B51">
              <w:rPr>
                <w:bCs/>
                <w:sz w:val="22"/>
                <w:szCs w:val="22"/>
              </w:rPr>
              <w:t xml:space="preserve">is defined </w:t>
            </w:r>
            <w:r w:rsidR="00686064">
              <w:rPr>
                <w:bCs/>
                <w:sz w:val="22"/>
                <w:szCs w:val="22"/>
              </w:rPr>
              <w:t xml:space="preserve">by the Food and Agricultural Organisation </w:t>
            </w:r>
            <w:r w:rsidR="00343B51" w:rsidRPr="00343B51">
              <w:rPr>
                <w:bCs/>
                <w:sz w:val="22"/>
                <w:szCs w:val="22"/>
              </w:rPr>
              <w:t>(FAO)</w:t>
            </w:r>
            <w:r w:rsidR="00686064">
              <w:rPr>
                <w:bCs/>
                <w:sz w:val="22"/>
                <w:szCs w:val="22"/>
              </w:rPr>
              <w:t xml:space="preserve"> as</w:t>
            </w:r>
            <w:r w:rsidR="00343B51" w:rsidRPr="00343B51">
              <w:rPr>
                <w:bCs/>
                <w:sz w:val="22"/>
                <w:szCs w:val="22"/>
              </w:rPr>
              <w:t xml:space="preserve"> “Agriculture that sustainably increases productivity, resilience (climate change adaptation), reduces/removes greenhouse gases (climate change mitigation), and enhances achievement of national food security and development goals.”</w:t>
            </w:r>
            <w:r w:rsidR="00343B51">
              <w:rPr>
                <w:bCs/>
                <w:sz w:val="22"/>
                <w:szCs w:val="22"/>
              </w:rPr>
              <w:t xml:space="preserve">  These </w:t>
            </w:r>
            <w:r w:rsidRPr="005209A0">
              <w:rPr>
                <w:bCs/>
                <w:sz w:val="22"/>
                <w:szCs w:val="22"/>
              </w:rPr>
              <w:t>practices present opportunities for addressing climate change challenges, as well as for economic growth and development of agriculture sectors.</w:t>
            </w:r>
            <w:r w:rsidR="005423A7">
              <w:rPr>
                <w:bCs/>
                <w:sz w:val="22"/>
                <w:szCs w:val="22"/>
              </w:rPr>
              <w:t xml:space="preserve"> As such the program </w:t>
            </w:r>
            <w:r w:rsidR="000531D6">
              <w:rPr>
                <w:bCs/>
                <w:sz w:val="22"/>
                <w:szCs w:val="22"/>
              </w:rPr>
              <w:t>included several projects attacking the issue of</w:t>
            </w:r>
            <w:r w:rsidR="00034512">
              <w:rPr>
                <w:bCs/>
                <w:sz w:val="22"/>
                <w:szCs w:val="22"/>
              </w:rPr>
              <w:t xml:space="preserve"> sustainable and adaptive practices from several angles. A </w:t>
            </w:r>
            <w:r w:rsidR="000531D6">
              <w:rPr>
                <w:bCs/>
                <w:sz w:val="22"/>
                <w:szCs w:val="22"/>
              </w:rPr>
              <w:t>brief description of those projects follows:</w:t>
            </w:r>
          </w:p>
          <w:p w14:paraId="0A82EA9F" w14:textId="77777777" w:rsidR="005423A7" w:rsidRDefault="005423A7" w:rsidP="00136DC3">
            <w:pPr>
              <w:pStyle w:val="Default"/>
              <w:numPr>
                <w:ilvl w:val="0"/>
                <w:numId w:val="33"/>
              </w:numPr>
              <w:spacing w:after="120"/>
              <w:jc w:val="both"/>
              <w:rPr>
                <w:bCs/>
                <w:sz w:val="22"/>
                <w:szCs w:val="22"/>
              </w:rPr>
            </w:pPr>
            <w:r w:rsidRPr="007F1A7F">
              <w:rPr>
                <w:b/>
                <w:bCs/>
                <w:sz w:val="22"/>
                <w:szCs w:val="22"/>
              </w:rPr>
              <w:t xml:space="preserve">Climate </w:t>
            </w:r>
            <w:r w:rsidR="00136DC3" w:rsidRPr="007F1A7F">
              <w:rPr>
                <w:b/>
                <w:bCs/>
                <w:sz w:val="22"/>
                <w:szCs w:val="22"/>
              </w:rPr>
              <w:t>Smart Agriculture Training</w:t>
            </w:r>
            <w:r w:rsidR="00136DC3">
              <w:rPr>
                <w:bCs/>
                <w:sz w:val="22"/>
                <w:szCs w:val="22"/>
              </w:rPr>
              <w:t>: This project focused on training the trainers (the Agricultural Extension Officers) so that they would be equipped to go into the field and change the practices of the local farmers</w:t>
            </w:r>
          </w:p>
          <w:p w14:paraId="5B6F8D95" w14:textId="77777777" w:rsidR="00136DC3" w:rsidRDefault="00136DC3" w:rsidP="00136DC3">
            <w:pPr>
              <w:pStyle w:val="Default"/>
              <w:numPr>
                <w:ilvl w:val="0"/>
                <w:numId w:val="33"/>
              </w:numPr>
              <w:spacing w:after="120"/>
              <w:jc w:val="both"/>
              <w:rPr>
                <w:bCs/>
                <w:sz w:val="22"/>
                <w:szCs w:val="22"/>
              </w:rPr>
            </w:pPr>
            <w:r w:rsidRPr="007F1A7F">
              <w:rPr>
                <w:b/>
                <w:bCs/>
                <w:sz w:val="22"/>
                <w:szCs w:val="22"/>
              </w:rPr>
              <w:t>G</w:t>
            </w:r>
            <w:r>
              <w:rPr>
                <w:b/>
                <w:bCs/>
                <w:sz w:val="22"/>
                <w:szCs w:val="22"/>
              </w:rPr>
              <w:t xml:space="preserve">renada </w:t>
            </w:r>
            <w:r w:rsidRPr="007F1A7F">
              <w:rPr>
                <w:b/>
                <w:bCs/>
                <w:sz w:val="22"/>
                <w:szCs w:val="22"/>
              </w:rPr>
              <w:t>O</w:t>
            </w:r>
            <w:r>
              <w:rPr>
                <w:b/>
                <w:bCs/>
                <w:sz w:val="22"/>
                <w:szCs w:val="22"/>
              </w:rPr>
              <w:t xml:space="preserve">rganic </w:t>
            </w:r>
            <w:r w:rsidRPr="007F1A7F">
              <w:rPr>
                <w:b/>
                <w:bCs/>
                <w:sz w:val="22"/>
                <w:szCs w:val="22"/>
              </w:rPr>
              <w:t>A</w:t>
            </w:r>
            <w:r>
              <w:rPr>
                <w:b/>
                <w:bCs/>
                <w:sz w:val="22"/>
                <w:szCs w:val="22"/>
              </w:rPr>
              <w:t xml:space="preserve">griculture </w:t>
            </w:r>
            <w:r w:rsidRPr="007F1A7F">
              <w:rPr>
                <w:b/>
                <w:bCs/>
                <w:sz w:val="22"/>
                <w:szCs w:val="22"/>
              </w:rPr>
              <w:t>M</w:t>
            </w:r>
            <w:r>
              <w:rPr>
                <w:b/>
                <w:bCs/>
                <w:sz w:val="22"/>
                <w:szCs w:val="22"/>
              </w:rPr>
              <w:t>ovement (GOAM</w:t>
            </w:r>
            <w:r w:rsidR="00686064">
              <w:rPr>
                <w:b/>
                <w:bCs/>
                <w:sz w:val="22"/>
                <w:szCs w:val="22"/>
              </w:rPr>
              <w:t>)</w:t>
            </w:r>
            <w:r>
              <w:rPr>
                <w:bCs/>
                <w:sz w:val="22"/>
                <w:szCs w:val="22"/>
              </w:rPr>
              <w:t>:</w:t>
            </w:r>
            <w:r>
              <w:t xml:space="preserve"> T</w:t>
            </w:r>
            <w:r w:rsidRPr="00136DC3">
              <w:rPr>
                <w:bCs/>
                <w:sz w:val="22"/>
                <w:szCs w:val="22"/>
              </w:rPr>
              <w:t>he GOAM project embarked on a process of changing the agricultural practices of its members as well as the members of three farming organization towards practices that are climate smart and friendly to the environment. It will provide farmers with the skills, knowledge and practices necessary to practice climate smart agriculture, such as the formulation and use of organic pesticides and use of cultural practices in pest and disease control and soil and water management.</w:t>
            </w:r>
          </w:p>
          <w:p w14:paraId="61977354" w14:textId="7D7C546F" w:rsidR="00B02FE9" w:rsidRPr="00961BAE" w:rsidRDefault="00CA4E08" w:rsidP="005F72D6">
            <w:pPr>
              <w:pStyle w:val="Default"/>
              <w:numPr>
                <w:ilvl w:val="0"/>
                <w:numId w:val="33"/>
              </w:numPr>
              <w:spacing w:after="120"/>
              <w:jc w:val="both"/>
              <w:rPr>
                <w:bCs/>
                <w:sz w:val="22"/>
                <w:szCs w:val="22"/>
              </w:rPr>
            </w:pPr>
            <w:proofErr w:type="spellStart"/>
            <w:r w:rsidRPr="005F72D6">
              <w:rPr>
                <w:b/>
                <w:bCs/>
                <w:sz w:val="22"/>
                <w:szCs w:val="22"/>
              </w:rPr>
              <w:t>Maricullture</w:t>
            </w:r>
            <w:proofErr w:type="spellEnd"/>
            <w:r>
              <w:rPr>
                <w:bCs/>
                <w:sz w:val="22"/>
                <w:szCs w:val="22"/>
              </w:rPr>
              <w:t xml:space="preserve">: </w:t>
            </w:r>
            <w:r w:rsidR="00E97960">
              <w:rPr>
                <w:bCs/>
                <w:sz w:val="22"/>
                <w:szCs w:val="22"/>
              </w:rPr>
              <w:t xml:space="preserve">The </w:t>
            </w:r>
            <w:proofErr w:type="spellStart"/>
            <w:r w:rsidR="00E97960" w:rsidRPr="00E97960">
              <w:rPr>
                <w:bCs/>
                <w:sz w:val="22"/>
                <w:szCs w:val="22"/>
              </w:rPr>
              <w:t>Seamoss</w:t>
            </w:r>
            <w:proofErr w:type="spellEnd"/>
            <w:r w:rsidR="00E97960" w:rsidRPr="00E97960">
              <w:rPr>
                <w:bCs/>
                <w:sz w:val="22"/>
                <w:szCs w:val="22"/>
              </w:rPr>
              <w:t xml:space="preserve"> Farmers of Grenville earned a living through</w:t>
            </w:r>
            <w:r w:rsidR="005F72D6">
              <w:rPr>
                <w:bCs/>
                <w:sz w:val="22"/>
                <w:szCs w:val="22"/>
              </w:rPr>
              <w:t xml:space="preserve"> cultivation</w:t>
            </w:r>
            <w:r w:rsidR="00E97960" w:rsidRPr="00E97960">
              <w:rPr>
                <w:bCs/>
                <w:sz w:val="22"/>
                <w:szCs w:val="22"/>
              </w:rPr>
              <w:t xml:space="preserve"> of wild edible sea moss for several years.  However, one of the most detrimental impacts of climate change is the increase frequency and </w:t>
            </w:r>
            <w:r w:rsidR="00E97960" w:rsidRPr="00E97960">
              <w:rPr>
                <w:bCs/>
                <w:sz w:val="22"/>
                <w:szCs w:val="22"/>
              </w:rPr>
              <w:lastRenderedPageBreak/>
              <w:t>severity of storm systems</w:t>
            </w:r>
            <w:r w:rsidR="00E97960">
              <w:rPr>
                <w:bCs/>
                <w:sz w:val="22"/>
                <w:szCs w:val="22"/>
              </w:rPr>
              <w:t xml:space="preserve"> and hurricanes which destroyed the substrate which nurtured sea moss. </w:t>
            </w:r>
            <w:r w:rsidR="00E97960" w:rsidRPr="00E97960">
              <w:rPr>
                <w:bCs/>
                <w:sz w:val="22"/>
                <w:szCs w:val="22"/>
              </w:rPr>
              <w:t xml:space="preserve">This loss significantly affected the villagers’ source of income. </w:t>
            </w:r>
            <w:r w:rsidR="00E97960">
              <w:rPr>
                <w:bCs/>
                <w:sz w:val="22"/>
                <w:szCs w:val="22"/>
              </w:rPr>
              <w:t>T</w:t>
            </w:r>
            <w:r w:rsidR="00E97960" w:rsidRPr="00E97960">
              <w:rPr>
                <w:bCs/>
                <w:sz w:val="22"/>
                <w:szCs w:val="22"/>
              </w:rPr>
              <w:t xml:space="preserve">he project introduced sea moss </w:t>
            </w:r>
            <w:proofErr w:type="spellStart"/>
            <w:r w:rsidR="00E97960" w:rsidRPr="00E97960">
              <w:rPr>
                <w:bCs/>
                <w:sz w:val="22"/>
                <w:szCs w:val="22"/>
              </w:rPr>
              <w:t>mariculture</w:t>
            </w:r>
            <w:proofErr w:type="spellEnd"/>
            <w:r w:rsidR="00E97960" w:rsidRPr="00E97960">
              <w:rPr>
                <w:bCs/>
                <w:sz w:val="22"/>
                <w:szCs w:val="22"/>
              </w:rPr>
              <w:t xml:space="preserve"> as an adaptation strategy to climate change. The project included training in the operation and construction of drying tables and solar dryers and provides a more reliable supply and improved quality of sea </w:t>
            </w:r>
            <w:r w:rsidR="005F72D6">
              <w:rPr>
                <w:bCs/>
                <w:sz w:val="22"/>
                <w:szCs w:val="22"/>
              </w:rPr>
              <w:t>moss.</w:t>
            </w:r>
          </w:p>
        </w:tc>
      </w:tr>
    </w:tbl>
    <w:p w14:paraId="7B23BD8C" w14:textId="77777777" w:rsidR="008C0829" w:rsidRDefault="008C0829">
      <w:pPr>
        <w:rPr>
          <w:rFonts w:ascii="Calibri" w:hAnsi="Calibri" w:cs="Calibri"/>
          <w:b/>
          <w:color w:val="000000"/>
          <w:sz w:val="24"/>
          <w:szCs w:val="24"/>
        </w:rPr>
      </w:pPr>
    </w:p>
    <w:p w14:paraId="252BAFE7" w14:textId="77777777" w:rsidR="00735635" w:rsidRDefault="003D07BC" w:rsidP="00D80254">
      <w:pPr>
        <w:spacing w:after="120"/>
        <w:rPr>
          <w:b/>
          <w:sz w:val="24"/>
          <w:szCs w:val="24"/>
        </w:rPr>
      </w:pPr>
      <w:r w:rsidRPr="006D7DC8">
        <w:rPr>
          <w:b/>
          <w:sz w:val="24"/>
          <w:szCs w:val="24"/>
        </w:rPr>
        <w:t>Overall Success</w:t>
      </w:r>
    </w:p>
    <w:p w14:paraId="1807F721" w14:textId="77777777" w:rsidR="00034512" w:rsidRDefault="00034512" w:rsidP="00686064">
      <w:pPr>
        <w:jc w:val="both"/>
        <w:rPr>
          <w:rFonts w:ascii="Calibri" w:hAnsi="Calibri" w:cs="Calibri"/>
          <w:color w:val="000000"/>
          <w:sz w:val="24"/>
          <w:szCs w:val="24"/>
        </w:rPr>
      </w:pPr>
      <w:r w:rsidRPr="007F1A7F">
        <w:rPr>
          <w:rFonts w:ascii="Calibri" w:hAnsi="Calibri" w:cs="Calibri"/>
          <w:color w:val="000000"/>
          <w:sz w:val="24"/>
          <w:szCs w:val="24"/>
        </w:rPr>
        <w:t xml:space="preserve">The projects </w:t>
      </w:r>
      <w:r>
        <w:rPr>
          <w:rFonts w:ascii="Calibri" w:hAnsi="Calibri" w:cs="Calibri"/>
          <w:color w:val="000000"/>
          <w:sz w:val="24"/>
          <w:szCs w:val="24"/>
        </w:rPr>
        <w:t xml:space="preserve">undertaken in the agricultural sector have all been successful in awakening many </w:t>
      </w:r>
      <w:r w:rsidR="00686064">
        <w:rPr>
          <w:rFonts w:ascii="Calibri" w:hAnsi="Calibri" w:cs="Calibri"/>
          <w:color w:val="000000"/>
          <w:sz w:val="24"/>
          <w:szCs w:val="24"/>
        </w:rPr>
        <w:t xml:space="preserve">of </w:t>
      </w:r>
      <w:r>
        <w:rPr>
          <w:rFonts w:ascii="Calibri" w:hAnsi="Calibri" w:cs="Calibri"/>
          <w:color w:val="000000"/>
          <w:sz w:val="24"/>
          <w:szCs w:val="24"/>
        </w:rPr>
        <w:t>those involved in agriculture</w:t>
      </w:r>
      <w:r w:rsidR="00120B5D">
        <w:rPr>
          <w:rFonts w:ascii="Calibri" w:hAnsi="Calibri" w:cs="Calibri"/>
          <w:color w:val="000000"/>
          <w:sz w:val="24"/>
          <w:szCs w:val="24"/>
        </w:rPr>
        <w:t xml:space="preserve"> to</w:t>
      </w:r>
      <w:r>
        <w:rPr>
          <w:rFonts w:ascii="Calibri" w:hAnsi="Calibri" w:cs="Calibri"/>
          <w:color w:val="000000"/>
          <w:sz w:val="24"/>
          <w:szCs w:val="24"/>
        </w:rPr>
        <w:t xml:space="preserve"> the impacts of climate change and the need to adapt</w:t>
      </w:r>
      <w:r w:rsidR="00686064">
        <w:rPr>
          <w:rFonts w:ascii="Calibri" w:hAnsi="Calibri" w:cs="Calibri"/>
          <w:color w:val="000000"/>
          <w:sz w:val="24"/>
          <w:szCs w:val="24"/>
        </w:rPr>
        <w:t xml:space="preserve"> by changing </w:t>
      </w:r>
      <w:r>
        <w:rPr>
          <w:rFonts w:ascii="Calibri" w:hAnsi="Calibri" w:cs="Calibri"/>
          <w:color w:val="000000"/>
          <w:sz w:val="24"/>
          <w:szCs w:val="24"/>
        </w:rPr>
        <w:t xml:space="preserve">the way they earn their livelihood to be more resilient to that impact.  </w:t>
      </w:r>
      <w:r w:rsidR="00120B5D">
        <w:rPr>
          <w:rFonts w:ascii="Calibri" w:hAnsi="Calibri" w:cs="Calibri"/>
          <w:color w:val="000000"/>
          <w:sz w:val="24"/>
          <w:szCs w:val="24"/>
        </w:rPr>
        <w:t>In fact, the addition of agriculture to the project has addressed component 3., namely the increased adaptive capacity of the communities particularly those involved in agriculture since approximately 40% of Grenada is under agriculture</w:t>
      </w:r>
      <w:r w:rsidR="006024C6">
        <w:rPr>
          <w:rFonts w:ascii="Calibri" w:hAnsi="Calibri" w:cs="Calibri"/>
          <w:color w:val="000000"/>
          <w:sz w:val="24"/>
          <w:szCs w:val="24"/>
        </w:rPr>
        <w:t>.</w:t>
      </w:r>
      <w:r w:rsidR="00120B5D">
        <w:rPr>
          <w:rFonts w:ascii="Calibri" w:hAnsi="Calibri" w:cs="Calibri"/>
          <w:color w:val="000000"/>
          <w:sz w:val="24"/>
          <w:szCs w:val="24"/>
        </w:rPr>
        <w:t xml:space="preserve"> </w:t>
      </w:r>
      <w:r>
        <w:rPr>
          <w:rFonts w:ascii="Calibri" w:hAnsi="Calibri" w:cs="Calibri"/>
          <w:color w:val="000000"/>
          <w:sz w:val="24"/>
          <w:szCs w:val="24"/>
        </w:rPr>
        <w:t>Additionally, the</w:t>
      </w:r>
      <w:r w:rsidR="00120B5D">
        <w:rPr>
          <w:rFonts w:ascii="Calibri" w:hAnsi="Calibri" w:cs="Calibri"/>
          <w:color w:val="000000"/>
          <w:sz w:val="24"/>
          <w:szCs w:val="24"/>
        </w:rPr>
        <w:t xml:space="preserve"> initial projects have</w:t>
      </w:r>
      <w:r>
        <w:rPr>
          <w:rFonts w:ascii="Calibri" w:hAnsi="Calibri" w:cs="Calibri"/>
          <w:color w:val="000000"/>
          <w:sz w:val="24"/>
          <w:szCs w:val="24"/>
        </w:rPr>
        <w:t xml:space="preserve"> focus</w:t>
      </w:r>
      <w:r w:rsidR="00120B5D">
        <w:rPr>
          <w:rFonts w:ascii="Calibri" w:hAnsi="Calibri" w:cs="Calibri"/>
          <w:color w:val="000000"/>
          <w:sz w:val="24"/>
          <w:szCs w:val="24"/>
        </w:rPr>
        <w:t>ed</w:t>
      </w:r>
      <w:r>
        <w:rPr>
          <w:rFonts w:ascii="Calibri" w:hAnsi="Calibri" w:cs="Calibri"/>
          <w:color w:val="000000"/>
          <w:sz w:val="24"/>
          <w:szCs w:val="24"/>
        </w:rPr>
        <w:t xml:space="preserve"> on training and capacity development w</w:t>
      </w:r>
      <w:r w:rsidR="00120B5D">
        <w:rPr>
          <w:rFonts w:ascii="Calibri" w:hAnsi="Calibri" w:cs="Calibri"/>
          <w:color w:val="000000"/>
          <w:sz w:val="24"/>
          <w:szCs w:val="24"/>
        </w:rPr>
        <w:t>ith the intention of raising awareness, improving technical capacity and thereby changing behaviour which will in the longer term</w:t>
      </w:r>
      <w:r>
        <w:rPr>
          <w:rFonts w:ascii="Calibri" w:hAnsi="Calibri" w:cs="Calibri"/>
          <w:color w:val="000000"/>
          <w:sz w:val="24"/>
          <w:szCs w:val="24"/>
        </w:rPr>
        <w:t xml:space="preserve"> </w:t>
      </w:r>
      <w:r w:rsidR="00120B5D">
        <w:rPr>
          <w:rFonts w:ascii="Calibri" w:hAnsi="Calibri" w:cs="Calibri"/>
          <w:color w:val="000000"/>
          <w:sz w:val="24"/>
          <w:szCs w:val="24"/>
        </w:rPr>
        <w:t>increase the likely use of CSA practices.</w:t>
      </w:r>
    </w:p>
    <w:p w14:paraId="04A06809" w14:textId="77777777" w:rsidR="002F7D20" w:rsidRDefault="002F7D20" w:rsidP="00D80254">
      <w:pPr>
        <w:spacing w:after="120"/>
        <w:jc w:val="both"/>
        <w:rPr>
          <w:rFonts w:ascii="Calibri" w:hAnsi="Calibri" w:cs="Calibri"/>
          <w:color w:val="000000"/>
          <w:sz w:val="24"/>
          <w:szCs w:val="24"/>
        </w:rPr>
      </w:pPr>
      <w:r>
        <w:rPr>
          <w:rFonts w:ascii="Calibri" w:hAnsi="Calibri" w:cs="Calibri"/>
          <w:color w:val="000000"/>
          <w:sz w:val="24"/>
          <w:szCs w:val="24"/>
        </w:rPr>
        <w:t>Some of the achievements in the shift in approach to agriculture are as follows:</w:t>
      </w:r>
    </w:p>
    <w:p w14:paraId="18C3D9D8" w14:textId="77777777" w:rsidR="002F7D20" w:rsidRPr="006E306E" w:rsidRDefault="002F7D20" w:rsidP="00686064">
      <w:pPr>
        <w:pStyle w:val="ListParagraph"/>
        <w:numPr>
          <w:ilvl w:val="0"/>
          <w:numId w:val="34"/>
        </w:numPr>
        <w:jc w:val="both"/>
        <w:rPr>
          <w:rFonts w:ascii="Calibri" w:hAnsi="Calibri" w:cs="Calibri"/>
          <w:color w:val="000000"/>
          <w:sz w:val="24"/>
          <w:szCs w:val="24"/>
        </w:rPr>
      </w:pPr>
      <w:r w:rsidRPr="006E306E">
        <w:rPr>
          <w:rFonts w:ascii="Calibri" w:hAnsi="Calibri" w:cs="Calibri"/>
          <w:color w:val="000000"/>
          <w:sz w:val="24"/>
          <w:szCs w:val="24"/>
        </w:rPr>
        <w:t>The training of 45 agricultural extension officers who have trained their counterparts and have gone into the field and begun training farmers</w:t>
      </w:r>
      <w:r w:rsidR="00583781">
        <w:rPr>
          <w:rFonts w:ascii="Calibri" w:hAnsi="Calibri" w:cs="Calibri"/>
          <w:color w:val="000000"/>
          <w:sz w:val="24"/>
          <w:szCs w:val="24"/>
        </w:rPr>
        <w:t xml:space="preserve"> in CSA techniques</w:t>
      </w:r>
      <w:r w:rsidR="00686064">
        <w:rPr>
          <w:rFonts w:ascii="Calibri" w:hAnsi="Calibri" w:cs="Calibri"/>
          <w:color w:val="000000"/>
          <w:sz w:val="24"/>
          <w:szCs w:val="24"/>
        </w:rPr>
        <w:t>.  Some of those techniques adopted include the</w:t>
      </w:r>
      <w:r w:rsidR="00583781">
        <w:rPr>
          <w:rFonts w:ascii="Calibri" w:hAnsi="Calibri" w:cs="Calibri"/>
          <w:color w:val="000000"/>
          <w:sz w:val="24"/>
          <w:szCs w:val="24"/>
        </w:rPr>
        <w:t xml:space="preserve"> following:</w:t>
      </w:r>
    </w:p>
    <w:p w14:paraId="2C88EC44" w14:textId="77777777" w:rsidR="00583781" w:rsidRDefault="00686064" w:rsidP="00686064">
      <w:pPr>
        <w:pStyle w:val="ListParagraph"/>
        <w:numPr>
          <w:ilvl w:val="1"/>
          <w:numId w:val="34"/>
        </w:numPr>
        <w:jc w:val="both"/>
        <w:rPr>
          <w:rFonts w:ascii="Calibri" w:hAnsi="Calibri" w:cs="Calibri"/>
          <w:color w:val="000000"/>
          <w:sz w:val="24"/>
          <w:szCs w:val="24"/>
        </w:rPr>
      </w:pPr>
      <w:r>
        <w:rPr>
          <w:rFonts w:ascii="Calibri" w:hAnsi="Calibri" w:cs="Calibri"/>
          <w:color w:val="000000"/>
          <w:sz w:val="24"/>
          <w:szCs w:val="24"/>
        </w:rPr>
        <w:t>Construction of c</w:t>
      </w:r>
      <w:r w:rsidR="00583781">
        <w:rPr>
          <w:rFonts w:ascii="Calibri" w:hAnsi="Calibri" w:cs="Calibri"/>
          <w:color w:val="000000"/>
          <w:sz w:val="24"/>
          <w:szCs w:val="24"/>
        </w:rPr>
        <w:t>ontour drains</w:t>
      </w:r>
    </w:p>
    <w:p w14:paraId="1BDCBA68" w14:textId="77777777" w:rsidR="00583781" w:rsidRDefault="00583781" w:rsidP="00686064">
      <w:pPr>
        <w:pStyle w:val="ListParagraph"/>
        <w:numPr>
          <w:ilvl w:val="1"/>
          <w:numId w:val="34"/>
        </w:numPr>
        <w:jc w:val="both"/>
        <w:rPr>
          <w:rFonts w:ascii="Calibri" w:hAnsi="Calibri" w:cs="Calibri"/>
          <w:color w:val="000000"/>
          <w:sz w:val="24"/>
          <w:szCs w:val="24"/>
        </w:rPr>
      </w:pPr>
      <w:r>
        <w:rPr>
          <w:rFonts w:ascii="Calibri" w:hAnsi="Calibri" w:cs="Calibri"/>
          <w:color w:val="000000"/>
          <w:sz w:val="24"/>
          <w:szCs w:val="24"/>
        </w:rPr>
        <w:t>Rainwater harvesting for irrigation</w:t>
      </w:r>
    </w:p>
    <w:p w14:paraId="7DE7E91E" w14:textId="77777777" w:rsidR="00583781" w:rsidRDefault="00583781" w:rsidP="00686064">
      <w:pPr>
        <w:pStyle w:val="ListParagraph"/>
        <w:numPr>
          <w:ilvl w:val="1"/>
          <w:numId w:val="34"/>
        </w:numPr>
        <w:jc w:val="both"/>
        <w:rPr>
          <w:rFonts w:ascii="Calibri" w:hAnsi="Calibri" w:cs="Calibri"/>
          <w:color w:val="000000"/>
          <w:sz w:val="24"/>
          <w:szCs w:val="24"/>
        </w:rPr>
      </w:pPr>
      <w:r>
        <w:rPr>
          <w:rFonts w:ascii="Calibri" w:hAnsi="Calibri" w:cs="Calibri"/>
          <w:color w:val="000000"/>
          <w:sz w:val="24"/>
          <w:szCs w:val="24"/>
        </w:rPr>
        <w:t>Mulching and composting</w:t>
      </w:r>
    </w:p>
    <w:p w14:paraId="44E70CB9" w14:textId="77777777" w:rsidR="00583781" w:rsidRDefault="00583781" w:rsidP="00686064">
      <w:pPr>
        <w:pStyle w:val="ListParagraph"/>
        <w:numPr>
          <w:ilvl w:val="1"/>
          <w:numId w:val="34"/>
        </w:numPr>
        <w:jc w:val="both"/>
        <w:rPr>
          <w:rFonts w:ascii="Calibri" w:hAnsi="Calibri" w:cs="Calibri"/>
          <w:color w:val="000000"/>
          <w:sz w:val="24"/>
          <w:szCs w:val="24"/>
        </w:rPr>
      </w:pPr>
      <w:r>
        <w:rPr>
          <w:rFonts w:ascii="Calibri" w:hAnsi="Calibri" w:cs="Calibri"/>
          <w:color w:val="000000"/>
          <w:sz w:val="24"/>
          <w:szCs w:val="24"/>
        </w:rPr>
        <w:t>Biological pest control</w:t>
      </w:r>
    </w:p>
    <w:p w14:paraId="6EDFF38A" w14:textId="77777777" w:rsidR="00583781" w:rsidRDefault="00583781" w:rsidP="00686064">
      <w:pPr>
        <w:pStyle w:val="ListParagraph"/>
        <w:numPr>
          <w:ilvl w:val="1"/>
          <w:numId w:val="34"/>
        </w:numPr>
        <w:jc w:val="both"/>
        <w:rPr>
          <w:rFonts w:ascii="Calibri" w:hAnsi="Calibri" w:cs="Calibri"/>
          <w:color w:val="000000"/>
          <w:sz w:val="24"/>
          <w:szCs w:val="24"/>
        </w:rPr>
      </w:pPr>
      <w:r>
        <w:rPr>
          <w:rFonts w:ascii="Calibri" w:hAnsi="Calibri" w:cs="Calibri"/>
          <w:color w:val="000000"/>
          <w:sz w:val="24"/>
          <w:szCs w:val="24"/>
        </w:rPr>
        <w:t>Shade houses</w:t>
      </w:r>
    </w:p>
    <w:p w14:paraId="208EE946" w14:textId="77777777" w:rsidR="00583781" w:rsidRDefault="00686064" w:rsidP="00686064">
      <w:pPr>
        <w:pStyle w:val="ListParagraph"/>
        <w:numPr>
          <w:ilvl w:val="1"/>
          <w:numId w:val="34"/>
        </w:numPr>
        <w:jc w:val="both"/>
        <w:rPr>
          <w:rFonts w:ascii="Calibri" w:hAnsi="Calibri" w:cs="Calibri"/>
          <w:color w:val="000000"/>
          <w:sz w:val="24"/>
          <w:szCs w:val="24"/>
        </w:rPr>
      </w:pPr>
      <w:r>
        <w:rPr>
          <w:rFonts w:ascii="Calibri" w:hAnsi="Calibri" w:cs="Calibri"/>
          <w:color w:val="000000"/>
          <w:sz w:val="24"/>
          <w:szCs w:val="24"/>
        </w:rPr>
        <w:t>P</w:t>
      </w:r>
      <w:r w:rsidR="00583781">
        <w:rPr>
          <w:rFonts w:ascii="Calibri" w:hAnsi="Calibri" w:cs="Calibri"/>
          <w:color w:val="000000"/>
          <w:sz w:val="24"/>
          <w:szCs w:val="24"/>
        </w:rPr>
        <w:t>roduction and use of biogas (</w:t>
      </w:r>
      <w:r>
        <w:rPr>
          <w:rFonts w:ascii="Calibri" w:hAnsi="Calibri" w:cs="Calibri"/>
          <w:color w:val="000000"/>
          <w:sz w:val="24"/>
          <w:szCs w:val="24"/>
        </w:rPr>
        <w:t xml:space="preserve">using </w:t>
      </w:r>
      <w:r w:rsidR="00583781">
        <w:rPr>
          <w:rFonts w:ascii="Calibri" w:hAnsi="Calibri" w:cs="Calibri"/>
          <w:color w:val="000000"/>
          <w:sz w:val="24"/>
          <w:szCs w:val="24"/>
        </w:rPr>
        <w:t>pig manure</w:t>
      </w:r>
      <w:r>
        <w:rPr>
          <w:rFonts w:ascii="Calibri" w:hAnsi="Calibri" w:cs="Calibri"/>
          <w:color w:val="000000"/>
          <w:sz w:val="24"/>
          <w:szCs w:val="24"/>
        </w:rPr>
        <w:t>)</w:t>
      </w:r>
    </w:p>
    <w:p w14:paraId="2597EAE3" w14:textId="77777777" w:rsidR="0036769E" w:rsidRDefault="0036769E" w:rsidP="00686064">
      <w:pPr>
        <w:pStyle w:val="ListParagraph"/>
        <w:numPr>
          <w:ilvl w:val="1"/>
          <w:numId w:val="34"/>
        </w:numPr>
        <w:jc w:val="both"/>
        <w:rPr>
          <w:rFonts w:ascii="Calibri" w:hAnsi="Calibri" w:cs="Calibri"/>
          <w:color w:val="000000"/>
          <w:sz w:val="24"/>
          <w:szCs w:val="24"/>
        </w:rPr>
      </w:pPr>
      <w:r>
        <w:rPr>
          <w:rFonts w:ascii="Calibri" w:hAnsi="Calibri" w:cs="Calibri"/>
          <w:color w:val="000000"/>
          <w:sz w:val="24"/>
          <w:szCs w:val="24"/>
        </w:rPr>
        <w:t>Use of drought resistant crops</w:t>
      </w:r>
    </w:p>
    <w:p w14:paraId="501AD2BE" w14:textId="77777777" w:rsidR="0036769E" w:rsidRPr="00583781" w:rsidRDefault="0036769E" w:rsidP="00686064">
      <w:pPr>
        <w:pStyle w:val="ListParagraph"/>
        <w:ind w:left="1440"/>
        <w:jc w:val="both"/>
        <w:rPr>
          <w:rFonts w:ascii="Calibri" w:hAnsi="Calibri" w:cs="Calibri"/>
          <w:color w:val="000000"/>
          <w:sz w:val="24"/>
          <w:szCs w:val="24"/>
        </w:rPr>
      </w:pPr>
    </w:p>
    <w:p w14:paraId="3013996B" w14:textId="77777777" w:rsidR="005F72D6" w:rsidRDefault="00583781" w:rsidP="005F72D6">
      <w:pPr>
        <w:pStyle w:val="ListParagraph"/>
        <w:numPr>
          <w:ilvl w:val="0"/>
          <w:numId w:val="34"/>
        </w:numPr>
        <w:jc w:val="both"/>
        <w:rPr>
          <w:rFonts w:ascii="Calibri" w:hAnsi="Calibri" w:cs="Calibri"/>
          <w:color w:val="000000"/>
          <w:sz w:val="24"/>
          <w:szCs w:val="24"/>
        </w:rPr>
      </w:pPr>
      <w:r w:rsidRPr="005F72D6">
        <w:rPr>
          <w:rFonts w:ascii="Calibri" w:hAnsi="Calibri" w:cs="Calibri"/>
          <w:color w:val="000000"/>
          <w:sz w:val="24"/>
          <w:szCs w:val="24"/>
        </w:rPr>
        <w:t>S</w:t>
      </w:r>
      <w:r w:rsidR="002F7D20" w:rsidRPr="005F72D6">
        <w:rPr>
          <w:rFonts w:ascii="Calibri" w:hAnsi="Calibri" w:cs="Calibri"/>
          <w:color w:val="000000"/>
          <w:sz w:val="24"/>
          <w:szCs w:val="24"/>
        </w:rPr>
        <w:t xml:space="preserve">uccessful establishment of a model farm using </w:t>
      </w:r>
      <w:r w:rsidRPr="005F72D6">
        <w:rPr>
          <w:rFonts w:ascii="Calibri" w:hAnsi="Calibri" w:cs="Calibri"/>
          <w:color w:val="000000"/>
          <w:sz w:val="24"/>
          <w:szCs w:val="24"/>
        </w:rPr>
        <w:t>the CSA</w:t>
      </w:r>
      <w:r w:rsidR="002F7D20" w:rsidRPr="005F72D6">
        <w:rPr>
          <w:rFonts w:ascii="Calibri" w:hAnsi="Calibri" w:cs="Calibri"/>
          <w:color w:val="000000"/>
          <w:sz w:val="24"/>
          <w:szCs w:val="24"/>
        </w:rPr>
        <w:t xml:space="preserve"> techniques </w:t>
      </w:r>
      <w:r w:rsidRPr="005F72D6">
        <w:rPr>
          <w:rFonts w:ascii="Calibri" w:hAnsi="Calibri" w:cs="Calibri"/>
          <w:color w:val="000000"/>
          <w:sz w:val="24"/>
          <w:szCs w:val="24"/>
        </w:rPr>
        <w:t>outlined previously.</w:t>
      </w:r>
    </w:p>
    <w:p w14:paraId="7AF161E7" w14:textId="77777777" w:rsidR="005F72D6" w:rsidRPr="005F72D6" w:rsidRDefault="002F7D20" w:rsidP="005F72D6">
      <w:pPr>
        <w:pStyle w:val="ListParagraph"/>
        <w:numPr>
          <w:ilvl w:val="0"/>
          <w:numId w:val="34"/>
        </w:numPr>
        <w:jc w:val="both"/>
        <w:rPr>
          <w:rFonts w:ascii="Calibri" w:hAnsi="Calibri" w:cs="Calibri"/>
          <w:color w:val="000000"/>
          <w:sz w:val="24"/>
          <w:szCs w:val="24"/>
        </w:rPr>
      </w:pPr>
      <w:r w:rsidRPr="005F72D6">
        <w:rPr>
          <w:rFonts w:ascii="Calibri" w:hAnsi="Calibri" w:cs="Calibri"/>
          <w:color w:val="000000"/>
          <w:sz w:val="24"/>
          <w:szCs w:val="24"/>
        </w:rPr>
        <w:t>The</w:t>
      </w:r>
      <w:r w:rsidR="00AA5224" w:rsidRPr="005F72D6">
        <w:rPr>
          <w:rFonts w:ascii="Calibri" w:hAnsi="Calibri" w:cs="Calibri"/>
          <w:color w:val="000000"/>
          <w:sz w:val="24"/>
          <w:szCs w:val="24"/>
        </w:rPr>
        <w:t xml:space="preserve"> Grenada Organic Agriculture Movement </w:t>
      </w:r>
      <w:r w:rsidR="00686064" w:rsidRPr="005F72D6">
        <w:rPr>
          <w:rFonts w:ascii="Calibri" w:hAnsi="Calibri" w:cs="Calibri"/>
          <w:color w:val="000000"/>
          <w:sz w:val="24"/>
          <w:szCs w:val="24"/>
        </w:rPr>
        <w:t>(</w:t>
      </w:r>
      <w:r w:rsidRPr="005F72D6">
        <w:rPr>
          <w:rFonts w:ascii="Calibri" w:hAnsi="Calibri" w:cs="Calibri"/>
          <w:color w:val="000000"/>
          <w:sz w:val="24"/>
          <w:szCs w:val="24"/>
        </w:rPr>
        <w:t>GOAM</w:t>
      </w:r>
      <w:r w:rsidR="00686064" w:rsidRPr="005F72D6">
        <w:rPr>
          <w:rFonts w:ascii="Calibri" w:hAnsi="Calibri" w:cs="Calibri"/>
          <w:color w:val="000000"/>
          <w:sz w:val="24"/>
          <w:szCs w:val="24"/>
        </w:rPr>
        <w:t>)</w:t>
      </w:r>
      <w:r w:rsidRPr="005F72D6">
        <w:rPr>
          <w:rFonts w:ascii="Calibri" w:hAnsi="Calibri" w:cs="Calibri"/>
          <w:color w:val="000000"/>
          <w:sz w:val="24"/>
          <w:szCs w:val="24"/>
        </w:rPr>
        <w:t xml:space="preserve"> group has also established similar systems on some of </w:t>
      </w:r>
      <w:r w:rsidR="008C0829" w:rsidRPr="005F72D6">
        <w:rPr>
          <w:rFonts w:ascii="Calibri" w:hAnsi="Calibri" w:cs="Calibri"/>
          <w:color w:val="000000"/>
          <w:sz w:val="24"/>
          <w:szCs w:val="24"/>
        </w:rPr>
        <w:t>their members</w:t>
      </w:r>
      <w:r w:rsidRPr="005F72D6">
        <w:rPr>
          <w:rFonts w:ascii="Calibri" w:hAnsi="Calibri" w:cs="Calibri"/>
          <w:color w:val="000000"/>
          <w:sz w:val="24"/>
          <w:szCs w:val="24"/>
        </w:rPr>
        <w:t xml:space="preserve">’ farms and have begun to teach others who are interested in the approach </w:t>
      </w:r>
      <w:r w:rsidR="008C0829" w:rsidRPr="005F72D6">
        <w:rPr>
          <w:rFonts w:ascii="Calibri" w:hAnsi="Calibri" w:cs="Calibri"/>
          <w:color w:val="000000"/>
          <w:sz w:val="24"/>
          <w:szCs w:val="24"/>
        </w:rPr>
        <w:t>to farm in this way.</w:t>
      </w:r>
    </w:p>
    <w:p w14:paraId="1945D86D" w14:textId="77777777" w:rsidR="005F72D6" w:rsidRDefault="00E97960" w:rsidP="000C6ACD">
      <w:pPr>
        <w:pStyle w:val="ListParagraph"/>
        <w:numPr>
          <w:ilvl w:val="0"/>
          <w:numId w:val="34"/>
        </w:numPr>
        <w:jc w:val="both"/>
        <w:rPr>
          <w:rFonts w:ascii="Calibri" w:hAnsi="Calibri" w:cs="Calibri"/>
          <w:color w:val="000000"/>
          <w:sz w:val="24"/>
          <w:szCs w:val="24"/>
        </w:rPr>
      </w:pPr>
      <w:r w:rsidRPr="005F72D6">
        <w:rPr>
          <w:rFonts w:ascii="Calibri" w:hAnsi="Calibri" w:cs="Calibri"/>
          <w:color w:val="000000"/>
          <w:sz w:val="24"/>
          <w:szCs w:val="24"/>
        </w:rPr>
        <w:t xml:space="preserve">The successful development of farmed sea moss </w:t>
      </w:r>
      <w:proofErr w:type="spellStart"/>
      <w:r w:rsidRPr="005F72D6">
        <w:rPr>
          <w:rFonts w:ascii="Calibri" w:hAnsi="Calibri" w:cs="Calibri"/>
          <w:color w:val="000000"/>
          <w:sz w:val="24"/>
          <w:szCs w:val="24"/>
        </w:rPr>
        <w:t>mariculture</w:t>
      </w:r>
      <w:proofErr w:type="spellEnd"/>
      <w:r w:rsidRPr="005F72D6">
        <w:rPr>
          <w:rFonts w:ascii="Calibri" w:hAnsi="Calibri" w:cs="Calibri"/>
          <w:color w:val="000000"/>
          <w:sz w:val="24"/>
          <w:szCs w:val="24"/>
        </w:rPr>
        <w:t xml:space="preserve"> system to protect wild stock and to continue to provide a sustainable livelihood to coastal villages. </w:t>
      </w:r>
    </w:p>
    <w:p w14:paraId="278C8AAB" w14:textId="77777777" w:rsidR="00583781" w:rsidRPr="005F72D6" w:rsidRDefault="00583781" w:rsidP="000C6ACD">
      <w:pPr>
        <w:pStyle w:val="ListParagraph"/>
        <w:numPr>
          <w:ilvl w:val="0"/>
          <w:numId w:val="34"/>
        </w:numPr>
        <w:jc w:val="both"/>
        <w:rPr>
          <w:rFonts w:ascii="Calibri" w:hAnsi="Calibri" w:cs="Calibri"/>
          <w:color w:val="000000"/>
          <w:sz w:val="24"/>
          <w:szCs w:val="24"/>
        </w:rPr>
      </w:pPr>
      <w:r w:rsidRPr="005F72D6">
        <w:rPr>
          <w:rFonts w:ascii="Calibri" w:hAnsi="Calibri" w:cs="Calibri"/>
          <w:color w:val="000000"/>
          <w:sz w:val="24"/>
          <w:szCs w:val="24"/>
        </w:rPr>
        <w:t xml:space="preserve">Several of the ICCAS projects in rainwater harvesting were using harvested rainwater for drip </w:t>
      </w:r>
      <w:r w:rsidR="00263AAF" w:rsidRPr="005F72D6">
        <w:rPr>
          <w:rFonts w:ascii="Calibri" w:hAnsi="Calibri" w:cs="Calibri"/>
          <w:color w:val="000000"/>
          <w:sz w:val="24"/>
          <w:szCs w:val="24"/>
        </w:rPr>
        <w:t>irrigation for</w:t>
      </w:r>
      <w:r w:rsidRPr="005F72D6">
        <w:rPr>
          <w:rFonts w:ascii="Calibri" w:hAnsi="Calibri" w:cs="Calibri"/>
          <w:color w:val="000000"/>
          <w:sz w:val="24"/>
          <w:szCs w:val="24"/>
        </w:rPr>
        <w:t xml:space="preserve"> the farming communities.</w:t>
      </w:r>
    </w:p>
    <w:p w14:paraId="55B07705" w14:textId="77777777" w:rsidR="001A2048" w:rsidRPr="006E306E" w:rsidRDefault="001A2048">
      <w:pPr>
        <w:pStyle w:val="ListParagraph"/>
        <w:numPr>
          <w:ilvl w:val="0"/>
          <w:numId w:val="34"/>
        </w:numPr>
        <w:rPr>
          <w:rFonts w:ascii="Calibri" w:hAnsi="Calibri" w:cs="Calibri"/>
          <w:color w:val="000000"/>
          <w:sz w:val="24"/>
          <w:szCs w:val="24"/>
        </w:rPr>
        <w:sectPr w:rsidR="001A2048" w:rsidRPr="006E306E" w:rsidSect="00686064">
          <w:pgSz w:w="12240" w:h="16340"/>
          <w:pgMar w:top="1440" w:right="1080" w:bottom="1440" w:left="1080" w:header="720" w:footer="720" w:gutter="0"/>
          <w:pgNumType w:fmt="numberInDash" w:start="1"/>
          <w:cols w:space="720"/>
          <w:noEndnote/>
          <w:docGrid w:linePitch="299"/>
        </w:sectPr>
      </w:pPr>
    </w:p>
    <w:p w14:paraId="6DD2DDCB" w14:textId="77777777" w:rsidR="00E62EE4" w:rsidRDefault="00E614A8" w:rsidP="005F72D6">
      <w:pPr>
        <w:ind w:left="-567" w:right="-247"/>
        <w:rPr>
          <w:rFonts w:ascii="Calibri" w:hAnsi="Calibri" w:cs="Calibri"/>
          <w:color w:val="000000"/>
          <w:sz w:val="24"/>
          <w:szCs w:val="24"/>
        </w:rPr>
      </w:pPr>
      <w:r>
        <w:rPr>
          <w:rFonts w:ascii="Calibri" w:hAnsi="Calibri" w:cs="Calibri"/>
          <w:noProof/>
          <w:color w:val="000000"/>
          <w:sz w:val="24"/>
          <w:szCs w:val="24"/>
        </w:rPr>
        <w:lastRenderedPageBreak/>
        <w:drawing>
          <wp:inline distT="0" distB="0" distL="0" distR="0" wp14:anchorId="73323F09" wp14:editId="69A92039">
            <wp:extent cx="4130040" cy="5968312"/>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56866" cy="6007079"/>
                    </a:xfrm>
                    <a:prstGeom prst="rect">
                      <a:avLst/>
                    </a:prstGeom>
                    <a:noFill/>
                  </pic:spPr>
                </pic:pic>
              </a:graphicData>
            </a:graphic>
          </wp:inline>
        </w:drawing>
      </w:r>
    </w:p>
    <w:p w14:paraId="4D93B2ED" w14:textId="77777777" w:rsidR="008C0829" w:rsidRPr="007F1A7F" w:rsidRDefault="00686064" w:rsidP="006E306E">
      <w:pPr>
        <w:spacing w:line="240" w:lineRule="auto"/>
        <w:ind w:right="5"/>
        <w:jc w:val="both"/>
        <w:rPr>
          <w:rFonts w:ascii="Calibri" w:hAnsi="Calibri" w:cs="Calibri"/>
          <w:color w:val="000000"/>
          <w:sz w:val="24"/>
          <w:szCs w:val="24"/>
        </w:rPr>
      </w:pPr>
      <w:r w:rsidRPr="00686064">
        <w:rPr>
          <w:rFonts w:ascii="Calibri" w:hAnsi="Calibri" w:cs="Calibri"/>
          <w:color w:val="000000"/>
          <w:sz w:val="24"/>
          <w:szCs w:val="24"/>
        </w:rPr>
        <w:t xml:space="preserve">The major impact of the CLA projects in the short term has been to demonstrate that this approach </w:t>
      </w:r>
      <w:r w:rsidRPr="00686064">
        <w:rPr>
          <w:rFonts w:ascii="Calibri" w:hAnsi="Calibri" w:cs="Calibri"/>
          <w:color w:val="000000"/>
          <w:sz w:val="24"/>
          <w:szCs w:val="24"/>
        </w:rPr>
        <w:t>to farming can provide a sustainable livelihood.  It can also provide a competitive advantage for consumers who are interested in organically grown produce.  Moreover, the training and modelling has focused on showing farmers the long-term benefits to their farming environment of using this approach, in terms of resilience against climate change by effective use of water, maintenance of top soil, and reduction of waste (through mulching etc).  the approach also has a direct long-term cost impact by reduced fertilizer and pesticide purchase</w:t>
      </w:r>
      <w:r>
        <w:rPr>
          <w:rFonts w:ascii="Calibri" w:hAnsi="Calibri" w:cs="Calibri"/>
          <w:color w:val="000000"/>
          <w:sz w:val="24"/>
          <w:szCs w:val="24"/>
        </w:rPr>
        <w:t>.</w:t>
      </w:r>
    </w:p>
    <w:p w14:paraId="36440371" w14:textId="77777777" w:rsidR="00034512" w:rsidRPr="007F1A7F" w:rsidRDefault="002F7D20" w:rsidP="006E306E">
      <w:pPr>
        <w:spacing w:line="240" w:lineRule="auto"/>
        <w:jc w:val="both"/>
        <w:rPr>
          <w:rFonts w:ascii="Calibri" w:hAnsi="Calibri" w:cs="Calibri"/>
          <w:color w:val="000000"/>
          <w:sz w:val="24"/>
          <w:szCs w:val="24"/>
        </w:rPr>
      </w:pPr>
      <w:r>
        <w:rPr>
          <w:rFonts w:ascii="Calibri" w:hAnsi="Calibri" w:cs="Calibri"/>
          <w:color w:val="000000"/>
          <w:sz w:val="24"/>
          <w:szCs w:val="24"/>
        </w:rPr>
        <w:t>Moreover,</w:t>
      </w:r>
      <w:r w:rsidR="00034512">
        <w:rPr>
          <w:rFonts w:ascii="Calibri" w:hAnsi="Calibri" w:cs="Calibri"/>
          <w:color w:val="000000"/>
          <w:sz w:val="24"/>
          <w:szCs w:val="24"/>
        </w:rPr>
        <w:t xml:space="preserve"> the </w:t>
      </w:r>
      <w:r w:rsidR="00E62EE4">
        <w:rPr>
          <w:rFonts w:ascii="Calibri" w:hAnsi="Calibri" w:cs="Calibri"/>
          <w:color w:val="000000"/>
          <w:sz w:val="24"/>
          <w:szCs w:val="24"/>
        </w:rPr>
        <w:t>longer-term</w:t>
      </w:r>
      <w:r w:rsidR="00DE470E">
        <w:rPr>
          <w:rFonts w:ascii="Calibri" w:hAnsi="Calibri" w:cs="Calibri"/>
          <w:color w:val="000000"/>
          <w:sz w:val="24"/>
          <w:szCs w:val="24"/>
        </w:rPr>
        <w:t xml:space="preserve"> </w:t>
      </w:r>
      <w:r w:rsidR="00034512">
        <w:rPr>
          <w:rFonts w:ascii="Calibri" w:hAnsi="Calibri" w:cs="Calibri"/>
          <w:color w:val="000000"/>
          <w:sz w:val="24"/>
          <w:szCs w:val="24"/>
        </w:rPr>
        <w:t xml:space="preserve">impact of the CSA </w:t>
      </w:r>
      <w:r>
        <w:rPr>
          <w:rFonts w:ascii="Calibri" w:hAnsi="Calibri" w:cs="Calibri"/>
          <w:color w:val="000000"/>
          <w:sz w:val="24"/>
          <w:szCs w:val="24"/>
        </w:rPr>
        <w:t xml:space="preserve">pilots is </w:t>
      </w:r>
      <w:r w:rsidR="00DE470E">
        <w:rPr>
          <w:rFonts w:ascii="Calibri" w:hAnsi="Calibri" w:cs="Calibri"/>
          <w:color w:val="000000"/>
          <w:sz w:val="24"/>
          <w:szCs w:val="24"/>
        </w:rPr>
        <w:t>c</w:t>
      </w:r>
      <w:r>
        <w:rPr>
          <w:rFonts w:ascii="Calibri" w:hAnsi="Calibri" w:cs="Calibri"/>
          <w:color w:val="000000"/>
          <w:sz w:val="24"/>
          <w:szCs w:val="24"/>
        </w:rPr>
        <w:t xml:space="preserve">learly seen in that the approach has been integrated into the policy and planning activities of the Government of Grenada and the Ministry of Agriculture as follows: </w:t>
      </w:r>
    </w:p>
    <w:p w14:paraId="6A44DB9E" w14:textId="77777777" w:rsidR="00E35B45" w:rsidRPr="007F1A7F" w:rsidRDefault="00E35B45" w:rsidP="00686064">
      <w:pPr>
        <w:pStyle w:val="Default"/>
        <w:numPr>
          <w:ilvl w:val="0"/>
          <w:numId w:val="43"/>
        </w:numPr>
        <w:jc w:val="both"/>
      </w:pPr>
      <w:r w:rsidRPr="007F1A7F">
        <w:t>GIZ-ICCAS project took adva</w:t>
      </w:r>
      <w:r w:rsidR="004D6181">
        <w:t>ntag</w:t>
      </w:r>
      <w:r w:rsidRPr="007F1A7F">
        <w:t>e of a mainstreaming opportunity to integrate CSA into the National Agriculture Plan 2015</w:t>
      </w:r>
      <w:r w:rsidR="00C205CE">
        <w:t xml:space="preserve"> which in turn has been integrated into the National Adaptation Plan.</w:t>
      </w:r>
    </w:p>
    <w:p w14:paraId="6EAA26DE" w14:textId="77777777" w:rsidR="00E35B45" w:rsidRDefault="00E35B45" w:rsidP="00686064">
      <w:pPr>
        <w:pStyle w:val="Default"/>
        <w:numPr>
          <w:ilvl w:val="0"/>
          <w:numId w:val="43"/>
        </w:numPr>
        <w:jc w:val="both"/>
      </w:pPr>
      <w:r w:rsidRPr="007F1A7F">
        <w:t xml:space="preserve">Climate change issues were also integrated into other sections of the National Agriculture Plan 2015. </w:t>
      </w:r>
    </w:p>
    <w:p w14:paraId="10A21720" w14:textId="77777777" w:rsidR="006E306E" w:rsidRPr="00686064" w:rsidRDefault="006E306E" w:rsidP="00686064">
      <w:pPr>
        <w:pStyle w:val="ListParagraph"/>
        <w:numPr>
          <w:ilvl w:val="0"/>
          <w:numId w:val="43"/>
        </w:numPr>
        <w:jc w:val="both"/>
        <w:rPr>
          <w:rFonts w:ascii="Calibri" w:hAnsi="Calibri" w:cs="Calibri"/>
          <w:color w:val="000000"/>
          <w:sz w:val="24"/>
          <w:szCs w:val="24"/>
        </w:rPr>
        <w:sectPr w:rsidR="006E306E" w:rsidRPr="00686064" w:rsidSect="00D80254">
          <w:type w:val="continuous"/>
          <w:pgSz w:w="12240" w:h="16340"/>
          <w:pgMar w:top="1440" w:right="1008" w:bottom="1440" w:left="1008" w:header="720" w:footer="720" w:gutter="0"/>
          <w:pgNumType w:fmt="numberInDash"/>
          <w:cols w:num="2" w:space="616"/>
          <w:noEndnote/>
          <w:docGrid w:linePitch="299"/>
        </w:sectPr>
      </w:pPr>
      <w:r w:rsidRPr="00686064">
        <w:rPr>
          <w:rFonts w:ascii="Calibri" w:hAnsi="Calibri" w:cs="Calibri"/>
          <w:color w:val="000000"/>
          <w:sz w:val="24"/>
          <w:szCs w:val="24"/>
        </w:rPr>
        <w:t>CSA actions were integrated into the 3 year (2016-2018) Corporate plan of Ministry of Agriculture, Lands, Forestry, Fisheries and the Environment which then further informed mainstreaming interventions into the Action plan and Work Plan 2016.</w:t>
      </w:r>
    </w:p>
    <w:p w14:paraId="355DDF7F" w14:textId="77777777" w:rsidR="006E306E" w:rsidRDefault="006E306E" w:rsidP="007F1A7F">
      <w:pPr>
        <w:pStyle w:val="Default"/>
        <w:jc w:val="both"/>
        <w:sectPr w:rsidR="006E306E" w:rsidSect="006E306E">
          <w:type w:val="continuous"/>
          <w:pgSz w:w="12240" w:h="16340"/>
          <w:pgMar w:top="1440" w:right="1008" w:bottom="1440" w:left="1008" w:header="720" w:footer="720" w:gutter="0"/>
          <w:cols w:space="616"/>
          <w:noEndnote/>
          <w:docGrid w:linePitch="299"/>
        </w:sectPr>
      </w:pPr>
    </w:p>
    <w:p w14:paraId="6D53DFCE" w14:textId="77777777" w:rsidR="00B46906" w:rsidRDefault="00B46906" w:rsidP="00686064">
      <w:pPr>
        <w:pStyle w:val="Default"/>
        <w:numPr>
          <w:ilvl w:val="0"/>
          <w:numId w:val="43"/>
        </w:numPr>
        <w:jc w:val="both"/>
      </w:pPr>
      <w:r>
        <w:t xml:space="preserve">A CSA agriculture project is one of four projects submitted for funding </w:t>
      </w:r>
      <w:r w:rsidR="00686064">
        <w:t xml:space="preserve">to </w:t>
      </w:r>
      <w:r>
        <w:t xml:space="preserve">the GCF.  </w:t>
      </w:r>
      <w:r w:rsidR="00686064">
        <w:t xml:space="preserve">The primary objective of that project is to </w:t>
      </w:r>
      <w:r>
        <w:t>upscale and widen the application of the model farm techniques used under the ICCAS project.</w:t>
      </w:r>
    </w:p>
    <w:p w14:paraId="45BDC56A" w14:textId="77777777" w:rsidR="00B46906" w:rsidRDefault="0036769E" w:rsidP="00686064">
      <w:pPr>
        <w:pStyle w:val="Default"/>
        <w:numPr>
          <w:ilvl w:val="0"/>
          <w:numId w:val="43"/>
        </w:numPr>
        <w:jc w:val="both"/>
      </w:pPr>
      <w:r>
        <w:t xml:space="preserve">In 2017, </w:t>
      </w:r>
      <w:r w:rsidR="00B46906">
        <w:t xml:space="preserve">IFAD </w:t>
      </w:r>
      <w:r>
        <w:t>provided loan funding for</w:t>
      </w:r>
      <w:r w:rsidR="00B46906">
        <w:t xml:space="preserve"> </w:t>
      </w:r>
      <w:r>
        <w:t>an</w:t>
      </w:r>
      <w:r w:rsidR="00B46906">
        <w:t xml:space="preserve"> agriculture project </w:t>
      </w:r>
      <w:r>
        <w:t xml:space="preserve">called </w:t>
      </w:r>
      <w:r w:rsidRPr="0036769E">
        <w:t>Climate Smart Agriculture and Rural Enterprise Programme</w:t>
      </w:r>
      <w:r>
        <w:t xml:space="preserve"> (SAEP),</w:t>
      </w:r>
      <w:r w:rsidRPr="0036769E">
        <w:t xml:space="preserve"> </w:t>
      </w:r>
      <w:r w:rsidR="00B46906">
        <w:t>that includes demonstration plots</w:t>
      </w:r>
      <w:r>
        <w:t xml:space="preserve"> using CSA techniques.</w:t>
      </w:r>
      <w:r w:rsidR="00B46906">
        <w:t xml:space="preserve"> as a first phase and is focusing on </w:t>
      </w:r>
      <w:r>
        <w:t>marketing agricultural products.</w:t>
      </w:r>
    </w:p>
    <w:p w14:paraId="1C4B5CC9" w14:textId="77777777" w:rsidR="00C73508" w:rsidRPr="0036769E" w:rsidRDefault="00C73508" w:rsidP="00686064">
      <w:pPr>
        <w:pStyle w:val="Default"/>
        <w:jc w:val="both"/>
        <w:rPr>
          <w:b/>
        </w:rPr>
        <w:sectPr w:rsidR="00C73508" w:rsidRPr="0036769E" w:rsidSect="00C73508">
          <w:type w:val="continuous"/>
          <w:pgSz w:w="12240" w:h="16340"/>
          <w:pgMar w:top="1440" w:right="1008" w:bottom="1440" w:left="1008" w:header="720" w:footer="720" w:gutter="0"/>
          <w:cols w:space="720"/>
          <w:noEndnote/>
          <w:docGrid w:linePitch="299"/>
        </w:sectPr>
      </w:pPr>
      <w:bookmarkStart w:id="0" w:name="_Hlk513559519"/>
    </w:p>
    <w:p w14:paraId="1233465E" w14:textId="77777777" w:rsidR="0036769E" w:rsidRDefault="0036769E" w:rsidP="00686064">
      <w:pPr>
        <w:pStyle w:val="Default"/>
        <w:jc w:val="both"/>
        <w:rPr>
          <w:b/>
        </w:rPr>
      </w:pPr>
    </w:p>
    <w:p w14:paraId="541F323A" w14:textId="77777777" w:rsidR="00F71537" w:rsidRPr="0036769E" w:rsidRDefault="00F71537" w:rsidP="00686064">
      <w:pPr>
        <w:pStyle w:val="Default"/>
        <w:jc w:val="both"/>
        <w:rPr>
          <w:b/>
        </w:rPr>
      </w:pPr>
      <w:r w:rsidRPr="0036769E">
        <w:rPr>
          <w:b/>
        </w:rPr>
        <w:t>Lessons Learnt</w:t>
      </w:r>
    </w:p>
    <w:p w14:paraId="4BD6D01C" w14:textId="77777777" w:rsidR="00D268F0" w:rsidRDefault="0013541D" w:rsidP="00686064">
      <w:pPr>
        <w:pStyle w:val="Default"/>
        <w:numPr>
          <w:ilvl w:val="0"/>
          <w:numId w:val="37"/>
        </w:numPr>
        <w:jc w:val="both"/>
      </w:pPr>
      <w:r>
        <w:t>These projects suffered delays in the initial phases and had issues of stakeholder buy in as well as legal issues</w:t>
      </w:r>
      <w:r w:rsidR="008809A0">
        <w:t xml:space="preserve"> (in terms of land rights etc.).  </w:t>
      </w:r>
      <w:r w:rsidR="00686064">
        <w:t xml:space="preserve">However, it was demonstrated that </w:t>
      </w:r>
      <w:r w:rsidR="008809A0">
        <w:t xml:space="preserve">stakeholder </w:t>
      </w:r>
      <w:r w:rsidR="008809A0">
        <w:lastRenderedPageBreak/>
        <w:t>commitment at all levels is necessary for the sectoral transformation required to make CSA the preferred choice among farmers.</w:t>
      </w:r>
    </w:p>
    <w:p w14:paraId="0AFA9160" w14:textId="77777777" w:rsidR="008809A0" w:rsidRDefault="008809A0" w:rsidP="00686064">
      <w:pPr>
        <w:pStyle w:val="Default"/>
        <w:numPr>
          <w:ilvl w:val="0"/>
          <w:numId w:val="37"/>
        </w:numPr>
        <w:jc w:val="both"/>
      </w:pPr>
      <w:r>
        <w:t>Integration of CSA at all levels of the agricultural planning process from policy to annual work plan is the approach being used to ensure the techniques filter down to the farmer and he is encouraged to use them.</w:t>
      </w:r>
    </w:p>
    <w:p w14:paraId="49A7C320" w14:textId="77777777" w:rsidR="008809A0" w:rsidRDefault="008809A0" w:rsidP="00686064">
      <w:pPr>
        <w:pStyle w:val="Default"/>
        <w:numPr>
          <w:ilvl w:val="0"/>
          <w:numId w:val="37"/>
        </w:numPr>
        <w:jc w:val="both"/>
      </w:pPr>
      <w:r>
        <w:t xml:space="preserve">The training the trainers approach has helped to promote buy in among those guiding the farmers in the sector.  </w:t>
      </w:r>
      <w:r w:rsidR="00686064">
        <w:t>However, t</w:t>
      </w:r>
      <w:r>
        <w:t xml:space="preserve">he </w:t>
      </w:r>
      <w:r w:rsidR="006723A8">
        <w:t>issue</w:t>
      </w:r>
      <w:r>
        <w:t xml:space="preserve"> </w:t>
      </w:r>
      <w:r w:rsidR="00686064">
        <w:t xml:space="preserve">of </w:t>
      </w:r>
      <w:r>
        <w:t xml:space="preserve">scarce human resources </w:t>
      </w:r>
      <w:r w:rsidR="00686064">
        <w:t>h</w:t>
      </w:r>
      <w:r>
        <w:t xml:space="preserve">as </w:t>
      </w:r>
      <w:r w:rsidR="00686064">
        <w:t xml:space="preserve">resulted in </w:t>
      </w:r>
      <w:r>
        <w:t>more experienced technical staff leav</w:t>
      </w:r>
      <w:r w:rsidR="00686064">
        <w:t>ing as their retirement becom</w:t>
      </w:r>
      <w:r>
        <w:t>e</w:t>
      </w:r>
      <w:r w:rsidR="00686064">
        <w:t xml:space="preserve"> due</w:t>
      </w:r>
      <w:r>
        <w:t>.  The solution which is being implemented is more training of younger and recently acquired staff as quickly as possible.</w:t>
      </w:r>
    </w:p>
    <w:p w14:paraId="43F585C1" w14:textId="600FAD07" w:rsidR="00540F29" w:rsidRPr="005F72D6" w:rsidRDefault="008809A0" w:rsidP="00967A2A">
      <w:pPr>
        <w:pStyle w:val="Default"/>
        <w:numPr>
          <w:ilvl w:val="0"/>
          <w:numId w:val="37"/>
        </w:numPr>
        <w:jc w:val="both"/>
        <w:rPr>
          <w:b/>
        </w:rPr>
      </w:pPr>
      <w:r>
        <w:t xml:space="preserve">The barrier to farmer commitment is the perception that CSA agriculture is more expensive, and that commercial fertilizer and pesticide </w:t>
      </w:r>
      <w:r w:rsidR="00684776">
        <w:t>are</w:t>
      </w:r>
      <w:r w:rsidR="00686064">
        <w:t xml:space="preserve"> required to obtain </w:t>
      </w:r>
      <w:r>
        <w:t xml:space="preserve">better yields and hence profits.  The model farm and the </w:t>
      </w:r>
      <w:r w:rsidR="00684776">
        <w:t xml:space="preserve">GOAM </w:t>
      </w:r>
      <w:r>
        <w:t xml:space="preserve">farms </w:t>
      </w:r>
      <w:r w:rsidR="00686064">
        <w:t>utilising the CSA techniques ha</w:t>
      </w:r>
      <w:r w:rsidR="00684776">
        <w:t>ve</w:t>
      </w:r>
      <w:r w:rsidR="00686064">
        <w:t xml:space="preserve"> </w:t>
      </w:r>
      <w:r>
        <w:t>demonstrate</w:t>
      </w:r>
      <w:r w:rsidR="00686064">
        <w:t>d</w:t>
      </w:r>
      <w:r>
        <w:t xml:space="preserve"> the financial viability of CSA</w:t>
      </w:r>
      <w:r w:rsidR="00684776">
        <w:t>. This demonstration</w:t>
      </w:r>
      <w:r>
        <w:t xml:space="preserve"> is the route to convincing the larger farming community. </w:t>
      </w:r>
      <w:bookmarkStart w:id="1" w:name="_GoBack"/>
      <w:bookmarkEnd w:id="0"/>
      <w:bookmarkEnd w:id="1"/>
    </w:p>
    <w:p w14:paraId="3D1922DE" w14:textId="77777777" w:rsidR="00684776" w:rsidRPr="00686064" w:rsidRDefault="00684776" w:rsidP="005F72D6">
      <w:pPr>
        <w:pStyle w:val="Default"/>
        <w:ind w:left="720"/>
        <w:jc w:val="both"/>
        <w:rPr>
          <w:b/>
        </w:rPr>
      </w:pPr>
    </w:p>
    <w:p w14:paraId="085B6BC1" w14:textId="77777777" w:rsidR="00035762" w:rsidRPr="007F1A7F" w:rsidRDefault="00735635" w:rsidP="00686064">
      <w:pPr>
        <w:pStyle w:val="Default"/>
        <w:spacing w:after="120"/>
        <w:jc w:val="both"/>
        <w:rPr>
          <w:b/>
        </w:rPr>
      </w:pPr>
      <w:r w:rsidRPr="007F1A7F">
        <w:rPr>
          <w:b/>
        </w:rPr>
        <w:t>Best Practice(s)</w:t>
      </w:r>
      <w:r w:rsidR="00D31167" w:rsidRPr="007F1A7F">
        <w:rPr>
          <w:b/>
        </w:rPr>
        <w:t xml:space="preserve"> </w:t>
      </w:r>
      <w:r w:rsidRPr="007F1A7F">
        <w:rPr>
          <w:b/>
        </w:rPr>
        <w:t>Identified</w:t>
      </w:r>
    </w:p>
    <w:p w14:paraId="36417B11" w14:textId="77777777" w:rsidR="004D6181" w:rsidRDefault="004D6181" w:rsidP="00686064">
      <w:pPr>
        <w:pStyle w:val="Default"/>
        <w:jc w:val="both"/>
      </w:pPr>
      <w:r>
        <w:t>The use of pilot projects in a controlled environment to identify lessons learnt and demonstrate success before upscaling is a significant best practice that has resulted from the pilot projects identified.</w:t>
      </w:r>
    </w:p>
    <w:p w14:paraId="091B1E9C" w14:textId="77777777" w:rsidR="00E97960" w:rsidRDefault="00E97960" w:rsidP="00686064">
      <w:pPr>
        <w:pStyle w:val="Default"/>
        <w:jc w:val="both"/>
      </w:pPr>
      <w:r>
        <w:t>The provision of an alternative but familiar climate adaptive livelihood based strategy (like sea moss farming) allows quick adoption by the community.</w:t>
      </w:r>
    </w:p>
    <w:p w14:paraId="7071FB92" w14:textId="77777777" w:rsidR="004D6181" w:rsidRPr="007F1A7F" w:rsidRDefault="004D6181" w:rsidP="00686064">
      <w:pPr>
        <w:pStyle w:val="Default"/>
        <w:jc w:val="both"/>
      </w:pPr>
    </w:p>
    <w:p w14:paraId="5FCCF305" w14:textId="77777777" w:rsidR="00735635" w:rsidRPr="007F1A7F" w:rsidRDefault="00735635" w:rsidP="00686064">
      <w:pPr>
        <w:pStyle w:val="Default"/>
        <w:spacing w:after="120"/>
        <w:jc w:val="both"/>
        <w:rPr>
          <w:b/>
        </w:rPr>
      </w:pPr>
      <w:r w:rsidRPr="007F1A7F">
        <w:rPr>
          <w:b/>
        </w:rPr>
        <w:t>Recommendations based on the Lessons Learnt and Best Practices Analysis</w:t>
      </w:r>
    </w:p>
    <w:p w14:paraId="5493DEB5" w14:textId="77777777" w:rsidR="008809A0" w:rsidRPr="007F1A7F" w:rsidRDefault="008809A0" w:rsidP="00686064">
      <w:pPr>
        <w:pStyle w:val="Default"/>
        <w:jc w:val="both"/>
      </w:pPr>
      <w:r>
        <w:t>The government can consider linking the receipt of financial incentives/subsidies to the use of CSA techniques. This would significantly improve the likelihood of uptake among the larger farming population.</w:t>
      </w:r>
    </w:p>
    <w:p w14:paraId="47D3A211" w14:textId="77777777" w:rsidR="0036769E" w:rsidRDefault="0036769E" w:rsidP="00540F29">
      <w:pPr>
        <w:pStyle w:val="Default"/>
      </w:pPr>
    </w:p>
    <w:p w14:paraId="1CFD37A0" w14:textId="77777777" w:rsidR="0036769E" w:rsidRPr="007F1A7F" w:rsidRDefault="0036769E" w:rsidP="00540F29">
      <w:pPr>
        <w:pStyle w:val="Default"/>
      </w:pPr>
    </w:p>
    <w:p w14:paraId="394BB99C" w14:textId="77777777" w:rsidR="00BC0189" w:rsidRDefault="00F24233" w:rsidP="00F24233">
      <w:pPr>
        <w:pStyle w:val="Default"/>
        <w:rPr>
          <w:sz w:val="22"/>
          <w:szCs w:val="22"/>
        </w:rPr>
      </w:pPr>
      <w:r w:rsidRPr="0026002D">
        <w:rPr>
          <w:sz w:val="22"/>
          <w:szCs w:val="22"/>
        </w:rPr>
        <w:t xml:space="preserve">Author: </w:t>
      </w:r>
      <w:r w:rsidR="00BC0189" w:rsidRPr="0026002D">
        <w:rPr>
          <w:sz w:val="22"/>
          <w:szCs w:val="22"/>
        </w:rPr>
        <w:t>David Simmons &amp; Christina Barradas-Brewster/ Consultants/Caribbean/</w:t>
      </w:r>
      <w:r w:rsidR="00785B74">
        <w:rPr>
          <w:sz w:val="22"/>
          <w:szCs w:val="22"/>
        </w:rPr>
        <w:t xml:space="preserve"> </w:t>
      </w:r>
      <w:hyperlink r:id="rId16" w:history="1">
        <w:r w:rsidR="00785B74" w:rsidRPr="00BC69F9">
          <w:rPr>
            <w:rStyle w:val="Hyperlink"/>
            <w:sz w:val="22"/>
            <w:szCs w:val="22"/>
          </w:rPr>
          <w:t>davidasimmons@outlook.com</w:t>
        </w:r>
      </w:hyperlink>
    </w:p>
    <w:p w14:paraId="291C7043" w14:textId="77777777" w:rsidR="00F24233" w:rsidRPr="0026002D" w:rsidRDefault="00F24233" w:rsidP="00F24233">
      <w:pPr>
        <w:pStyle w:val="Default"/>
        <w:rPr>
          <w:sz w:val="22"/>
          <w:szCs w:val="22"/>
        </w:rPr>
      </w:pPr>
      <w:r w:rsidRPr="0026002D">
        <w:rPr>
          <w:sz w:val="22"/>
          <w:szCs w:val="22"/>
        </w:rPr>
        <w:t xml:space="preserve">Location of Project: </w:t>
      </w:r>
      <w:r w:rsidR="00BC0189" w:rsidRPr="0026002D">
        <w:rPr>
          <w:sz w:val="22"/>
          <w:szCs w:val="22"/>
        </w:rPr>
        <w:t>Caribbean/</w:t>
      </w:r>
      <w:r w:rsidRPr="0026002D">
        <w:rPr>
          <w:sz w:val="22"/>
          <w:szCs w:val="22"/>
        </w:rPr>
        <w:t>OU/</w:t>
      </w:r>
      <w:r w:rsidR="00BC0189" w:rsidRPr="0026002D">
        <w:rPr>
          <w:sz w:val="22"/>
          <w:szCs w:val="22"/>
        </w:rPr>
        <w:t>Grenada</w:t>
      </w:r>
    </w:p>
    <w:p w14:paraId="430B84F8" w14:textId="77777777" w:rsidR="00F24233" w:rsidRPr="0026002D" w:rsidRDefault="00F24233" w:rsidP="00F24233">
      <w:pPr>
        <w:pStyle w:val="Default"/>
        <w:rPr>
          <w:sz w:val="22"/>
          <w:szCs w:val="22"/>
        </w:rPr>
      </w:pPr>
      <w:r w:rsidRPr="0026002D">
        <w:rPr>
          <w:sz w:val="22"/>
          <w:szCs w:val="22"/>
        </w:rPr>
        <w:t xml:space="preserve">MHT: What is the Major Habitat Type for this partnership? </w:t>
      </w:r>
      <w:r w:rsidR="00805BCC">
        <w:rPr>
          <w:sz w:val="22"/>
          <w:szCs w:val="22"/>
        </w:rPr>
        <w:t>Farmland</w:t>
      </w:r>
    </w:p>
    <w:p w14:paraId="2BF8F4A3" w14:textId="77777777" w:rsidR="00F24233" w:rsidRPr="0026002D" w:rsidRDefault="00F24233" w:rsidP="00F24233">
      <w:pPr>
        <w:pStyle w:val="Default"/>
        <w:rPr>
          <w:sz w:val="22"/>
          <w:szCs w:val="22"/>
        </w:rPr>
      </w:pPr>
      <w:r w:rsidRPr="0026002D">
        <w:rPr>
          <w:sz w:val="22"/>
          <w:szCs w:val="22"/>
        </w:rPr>
        <w:t>Types of Partners: Government, Place-based NGO, International NGO,</w:t>
      </w:r>
      <w:r w:rsidR="007B6378" w:rsidRPr="0026002D">
        <w:rPr>
          <w:sz w:val="22"/>
          <w:szCs w:val="22"/>
        </w:rPr>
        <w:t xml:space="preserve"> </w:t>
      </w:r>
      <w:r w:rsidRPr="0026002D">
        <w:rPr>
          <w:sz w:val="22"/>
          <w:szCs w:val="22"/>
        </w:rPr>
        <w:t>Community Based Organization</w:t>
      </w:r>
      <w:r w:rsidR="002D53EA" w:rsidRPr="0026002D">
        <w:rPr>
          <w:sz w:val="22"/>
          <w:szCs w:val="22"/>
        </w:rPr>
        <w:t>.</w:t>
      </w:r>
    </w:p>
    <w:p w14:paraId="08CDE331" w14:textId="77777777" w:rsidR="00F24233" w:rsidRPr="0026002D" w:rsidRDefault="00F24233" w:rsidP="00F24233">
      <w:pPr>
        <w:pStyle w:val="Default"/>
        <w:rPr>
          <w:sz w:val="22"/>
          <w:szCs w:val="22"/>
        </w:rPr>
      </w:pPr>
      <w:r w:rsidRPr="0026002D">
        <w:rPr>
          <w:sz w:val="22"/>
          <w:szCs w:val="22"/>
        </w:rPr>
        <w:t xml:space="preserve">Priority: </w:t>
      </w:r>
      <w:r w:rsidR="00A9435E">
        <w:rPr>
          <w:sz w:val="22"/>
          <w:szCs w:val="22"/>
        </w:rPr>
        <w:t>National</w:t>
      </w:r>
    </w:p>
    <w:p w14:paraId="5D917756" w14:textId="77777777" w:rsidR="00F24233" w:rsidRPr="0026002D" w:rsidRDefault="00F24233" w:rsidP="00F24233">
      <w:pPr>
        <w:pStyle w:val="Default"/>
        <w:rPr>
          <w:sz w:val="22"/>
          <w:szCs w:val="22"/>
        </w:rPr>
      </w:pPr>
      <w:r w:rsidRPr="0026002D">
        <w:rPr>
          <w:sz w:val="22"/>
          <w:szCs w:val="22"/>
        </w:rPr>
        <w:t xml:space="preserve">Date: </w:t>
      </w:r>
      <w:r w:rsidR="00800697">
        <w:rPr>
          <w:sz w:val="22"/>
          <w:szCs w:val="22"/>
        </w:rPr>
        <w:t>June</w:t>
      </w:r>
      <w:r w:rsidR="00800697" w:rsidRPr="0026002D">
        <w:rPr>
          <w:sz w:val="22"/>
          <w:szCs w:val="22"/>
        </w:rPr>
        <w:t xml:space="preserve"> </w:t>
      </w:r>
      <w:r w:rsidR="00BC0189" w:rsidRPr="0026002D">
        <w:rPr>
          <w:sz w:val="22"/>
          <w:szCs w:val="22"/>
        </w:rPr>
        <w:t>2018</w:t>
      </w:r>
      <w:r w:rsidRPr="0026002D">
        <w:rPr>
          <w:sz w:val="22"/>
          <w:szCs w:val="22"/>
        </w:rPr>
        <w:t xml:space="preserve"> </w:t>
      </w:r>
    </w:p>
    <w:p w14:paraId="309C0259" w14:textId="77777777" w:rsidR="009A4AF0" w:rsidRDefault="007D7461" w:rsidP="00E35B45">
      <w:pPr>
        <w:spacing w:after="0"/>
      </w:pPr>
      <w:r w:rsidRPr="0026002D">
        <w:t>Link</w:t>
      </w:r>
      <w:r w:rsidR="007B6378" w:rsidRPr="0026002D">
        <w:t>s:</w:t>
      </w:r>
      <w:r w:rsidRPr="0026002D">
        <w:t xml:space="preserve"> </w:t>
      </w:r>
      <w:hyperlink r:id="rId17" w:history="1">
        <w:r w:rsidR="009A4AF0" w:rsidRPr="00D766B3">
          <w:rPr>
            <w:rStyle w:val="Hyperlink"/>
          </w:rPr>
          <w:t>https://youtu.be/i7s_hX7Y6kQ</w:t>
        </w:r>
      </w:hyperlink>
    </w:p>
    <w:p w14:paraId="6C12DD95" w14:textId="77777777" w:rsidR="009A4AF0" w:rsidRDefault="003846DC" w:rsidP="00E35B45">
      <w:pPr>
        <w:spacing w:after="0"/>
      </w:pPr>
      <w:hyperlink r:id="rId18" w:history="1">
        <w:r w:rsidR="009A4AF0" w:rsidRPr="00D766B3">
          <w:rPr>
            <w:rStyle w:val="Hyperlink"/>
          </w:rPr>
          <w:t>http://www.iccas.gd/?q=community-projects/120/GOAM</w:t>
        </w:r>
      </w:hyperlink>
    </w:p>
    <w:p w14:paraId="2ACB8162" w14:textId="77777777" w:rsidR="009A4AF0" w:rsidRDefault="003846DC" w:rsidP="00E35B45">
      <w:pPr>
        <w:spacing w:after="0"/>
      </w:pPr>
      <w:hyperlink r:id="rId19" w:history="1">
        <w:r w:rsidR="009A4AF0" w:rsidRPr="00D766B3">
          <w:rPr>
            <w:rStyle w:val="Hyperlink"/>
          </w:rPr>
          <w:t>http://www.iccas.gd/?q=community-projects/72/Climate%20Smart%20Agriculture%20%28CSA%29</w:t>
        </w:r>
      </w:hyperlink>
    </w:p>
    <w:p w14:paraId="5C2F67F0" w14:textId="77777777" w:rsidR="009A4AF0" w:rsidRDefault="003846DC" w:rsidP="00E35B45">
      <w:pPr>
        <w:spacing w:after="0"/>
        <w:rPr>
          <w:rStyle w:val="Hyperlink"/>
        </w:rPr>
      </w:pPr>
      <w:hyperlink r:id="rId20" w:history="1">
        <w:r w:rsidR="00222048" w:rsidRPr="00D766B3">
          <w:rPr>
            <w:rStyle w:val="Hyperlink"/>
          </w:rPr>
          <w:t>http://adaptation-undp.org/projects/bf-grenada</w:t>
        </w:r>
      </w:hyperlink>
    </w:p>
    <w:p w14:paraId="21B34C23" w14:textId="77777777" w:rsidR="00B46906" w:rsidRDefault="003846DC" w:rsidP="00E35B45">
      <w:pPr>
        <w:spacing w:after="0"/>
      </w:pPr>
      <w:hyperlink r:id="rId21" w:history="1">
        <w:r w:rsidR="00B46906" w:rsidRPr="0028736F">
          <w:rPr>
            <w:rStyle w:val="Hyperlink"/>
          </w:rPr>
          <w:t>http://www.napglobalnetwork.org/wp-content/uploads/2016/06/sNAPshot-Grenada-June2016-Letter-1.pdf</w:t>
        </w:r>
      </w:hyperlink>
    </w:p>
    <w:p w14:paraId="767CAE68" w14:textId="77777777" w:rsidR="0036769E" w:rsidRDefault="003846DC" w:rsidP="00E35B45">
      <w:pPr>
        <w:spacing w:after="0"/>
      </w:pPr>
      <w:hyperlink r:id="rId22" w:history="1">
        <w:r w:rsidR="0036769E" w:rsidRPr="0028736F">
          <w:rPr>
            <w:rStyle w:val="Hyperlink"/>
          </w:rPr>
          <w:t>https://www.ifad.org/web/operations/project/id/2000001475/country/grenada</w:t>
        </w:r>
      </w:hyperlink>
    </w:p>
    <w:p w14:paraId="283BC7DD" w14:textId="77777777" w:rsidR="0036769E" w:rsidRDefault="0036769E" w:rsidP="00E35B45">
      <w:pPr>
        <w:spacing w:after="0"/>
      </w:pPr>
    </w:p>
    <w:p w14:paraId="186F3B56" w14:textId="77777777" w:rsidR="00B46906" w:rsidRDefault="00B46906" w:rsidP="00E35B45">
      <w:pPr>
        <w:spacing w:after="0"/>
      </w:pPr>
    </w:p>
    <w:p w14:paraId="7E4401BE" w14:textId="77777777" w:rsidR="00222048" w:rsidRPr="0026002D" w:rsidRDefault="00222048">
      <w:pPr>
        <w:spacing w:after="0"/>
      </w:pPr>
    </w:p>
    <w:p w14:paraId="1203DC5F" w14:textId="77777777" w:rsidR="007E1E5B" w:rsidRPr="0026002D" w:rsidRDefault="007E1E5B">
      <w:pPr>
        <w:spacing w:after="0"/>
      </w:pPr>
    </w:p>
    <w:p w14:paraId="3929F637" w14:textId="77777777" w:rsidR="000C3319" w:rsidRPr="0026002D" w:rsidRDefault="000C3319" w:rsidP="000C3319">
      <w:pPr>
        <w:spacing w:after="0"/>
      </w:pPr>
    </w:p>
    <w:p w14:paraId="19D75D52" w14:textId="77777777" w:rsidR="000C3319" w:rsidRPr="007D7461" w:rsidRDefault="000C3319" w:rsidP="00F24233">
      <w:pPr>
        <w:rPr>
          <w:sz w:val="24"/>
          <w:szCs w:val="24"/>
        </w:rPr>
      </w:pPr>
    </w:p>
    <w:p w14:paraId="7623D53F" w14:textId="77777777" w:rsidR="00F24233" w:rsidRPr="007D7461" w:rsidRDefault="00F24233" w:rsidP="00735635"/>
    <w:sectPr w:rsidR="00F24233" w:rsidRPr="007D7461" w:rsidSect="00D80254">
      <w:type w:val="continuous"/>
      <w:pgSz w:w="12240" w:h="16340"/>
      <w:pgMar w:top="1440" w:right="1008" w:bottom="1440" w:left="1008" w:header="720" w:footer="720" w:gutter="0"/>
      <w:pgNumType w:fmt="numberInDash"/>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6CBA6" w14:textId="77777777" w:rsidR="001D4151" w:rsidRDefault="001D4151" w:rsidP="009F6A04">
      <w:pPr>
        <w:spacing w:after="0" w:line="240" w:lineRule="auto"/>
      </w:pPr>
      <w:r>
        <w:separator/>
      </w:r>
    </w:p>
  </w:endnote>
  <w:endnote w:type="continuationSeparator" w:id="0">
    <w:p w14:paraId="0EE1D497" w14:textId="77777777" w:rsidR="001D4151" w:rsidRDefault="001D4151" w:rsidP="009F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126819"/>
      <w:docPartObj>
        <w:docPartGallery w:val="Page Numbers (Bottom of Page)"/>
        <w:docPartUnique/>
      </w:docPartObj>
    </w:sdtPr>
    <w:sdtEndPr>
      <w:rPr>
        <w:noProof/>
      </w:rPr>
    </w:sdtEndPr>
    <w:sdtContent>
      <w:p w14:paraId="4B65791A" w14:textId="4A25ADFF" w:rsidR="00D626AD" w:rsidRDefault="00D626AD">
        <w:pPr>
          <w:pStyle w:val="Footer"/>
          <w:jc w:val="center"/>
        </w:pPr>
        <w:r>
          <w:fldChar w:fldCharType="begin"/>
        </w:r>
        <w:r>
          <w:instrText xml:space="preserve"> PAGE   \* MERGEFORMAT </w:instrText>
        </w:r>
        <w:r>
          <w:fldChar w:fldCharType="separate"/>
        </w:r>
        <w:r w:rsidR="003846DC">
          <w:rPr>
            <w:noProof/>
          </w:rPr>
          <w:t>- 3 -</w:t>
        </w:r>
        <w:r>
          <w:rPr>
            <w:noProof/>
          </w:rPr>
          <w:fldChar w:fldCharType="end"/>
        </w:r>
      </w:p>
    </w:sdtContent>
  </w:sdt>
  <w:p w14:paraId="0EE3AD3F" w14:textId="77777777" w:rsidR="00D626AD" w:rsidRDefault="00D62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52BD7" w14:textId="77777777" w:rsidR="001D4151" w:rsidRDefault="001D4151" w:rsidP="009F6A04">
      <w:pPr>
        <w:spacing w:after="0" w:line="240" w:lineRule="auto"/>
      </w:pPr>
      <w:r>
        <w:separator/>
      </w:r>
    </w:p>
  </w:footnote>
  <w:footnote w:type="continuationSeparator" w:id="0">
    <w:p w14:paraId="622ED2C6" w14:textId="77777777" w:rsidR="001D4151" w:rsidRDefault="001D4151" w:rsidP="009F6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15722"/>
    <w:multiLevelType w:val="hybridMultilevel"/>
    <w:tmpl w:val="490474D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0BCD6399"/>
    <w:multiLevelType w:val="hybridMultilevel"/>
    <w:tmpl w:val="1BDC3426"/>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 w15:restartNumberingAfterBreak="0">
    <w:nsid w:val="0C8E63FF"/>
    <w:multiLevelType w:val="hybridMultilevel"/>
    <w:tmpl w:val="EB5A5856"/>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 w15:restartNumberingAfterBreak="0">
    <w:nsid w:val="0CD85B23"/>
    <w:multiLevelType w:val="hybridMultilevel"/>
    <w:tmpl w:val="DB587D6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 w15:restartNumberingAfterBreak="0">
    <w:nsid w:val="0DA46CE2"/>
    <w:multiLevelType w:val="hybridMultilevel"/>
    <w:tmpl w:val="B8B22512"/>
    <w:lvl w:ilvl="0" w:tplc="2C090017">
      <w:start w:val="1"/>
      <w:numFmt w:val="lowerLetter"/>
      <w:lvlText w:val="%1)"/>
      <w:lvlJc w:val="left"/>
      <w:pPr>
        <w:ind w:left="1440" w:hanging="360"/>
      </w:pPr>
    </w:lvl>
    <w:lvl w:ilvl="1" w:tplc="2C090019" w:tentative="1">
      <w:start w:val="1"/>
      <w:numFmt w:val="lowerLetter"/>
      <w:lvlText w:val="%2."/>
      <w:lvlJc w:val="lef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5" w15:restartNumberingAfterBreak="0">
    <w:nsid w:val="0F1963CF"/>
    <w:multiLevelType w:val="hybridMultilevel"/>
    <w:tmpl w:val="0A6C2AFA"/>
    <w:lvl w:ilvl="0" w:tplc="1E364B60">
      <w:start w:val="1"/>
      <w:numFmt w:val="decimal"/>
      <w:lvlText w:val="%1."/>
      <w:lvlJc w:val="left"/>
      <w:pPr>
        <w:ind w:left="720" w:hanging="360"/>
      </w:pPr>
      <w:rPr>
        <w:b w:val="0"/>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6" w15:restartNumberingAfterBreak="0">
    <w:nsid w:val="0F7D518A"/>
    <w:multiLevelType w:val="hybridMultilevel"/>
    <w:tmpl w:val="F448F28E"/>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7" w15:restartNumberingAfterBreak="0">
    <w:nsid w:val="11367EF9"/>
    <w:multiLevelType w:val="hybridMultilevel"/>
    <w:tmpl w:val="FE98C15C"/>
    <w:lvl w:ilvl="0" w:tplc="2C09000F">
      <w:start w:val="1"/>
      <w:numFmt w:val="decimal"/>
      <w:lvlText w:val="%1."/>
      <w:lvlJc w:val="left"/>
      <w:pPr>
        <w:ind w:left="720" w:hanging="360"/>
      </w:pPr>
      <w:rPr>
        <w:rFont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8" w15:restartNumberingAfterBreak="0">
    <w:nsid w:val="15C14371"/>
    <w:multiLevelType w:val="hybridMultilevel"/>
    <w:tmpl w:val="F9C242E4"/>
    <w:lvl w:ilvl="0" w:tplc="2C090001">
      <w:start w:val="1"/>
      <w:numFmt w:val="bullet"/>
      <w:lvlText w:val=""/>
      <w:lvlJc w:val="left"/>
      <w:pPr>
        <w:ind w:left="1440" w:hanging="360"/>
      </w:pPr>
      <w:rPr>
        <w:rFonts w:ascii="Symbol" w:hAnsi="Symbol"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9" w15:restartNumberingAfterBreak="0">
    <w:nsid w:val="167D7D07"/>
    <w:multiLevelType w:val="hybridMultilevel"/>
    <w:tmpl w:val="DB7A80C0"/>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0" w15:restartNumberingAfterBreak="0">
    <w:nsid w:val="19662573"/>
    <w:multiLevelType w:val="hybridMultilevel"/>
    <w:tmpl w:val="BA644336"/>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1" w15:restartNumberingAfterBreak="0">
    <w:nsid w:val="19980CF5"/>
    <w:multiLevelType w:val="hybridMultilevel"/>
    <w:tmpl w:val="EE0273E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2" w15:restartNumberingAfterBreak="0">
    <w:nsid w:val="1BBC28B9"/>
    <w:multiLevelType w:val="hybridMultilevel"/>
    <w:tmpl w:val="F9AAA686"/>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3" w15:restartNumberingAfterBreak="0">
    <w:nsid w:val="205F2701"/>
    <w:multiLevelType w:val="hybridMultilevel"/>
    <w:tmpl w:val="874A9422"/>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4" w15:restartNumberingAfterBreak="0">
    <w:nsid w:val="238F5C2E"/>
    <w:multiLevelType w:val="hybridMultilevel"/>
    <w:tmpl w:val="16EE2040"/>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5" w15:restartNumberingAfterBreak="0">
    <w:nsid w:val="26CF0E2A"/>
    <w:multiLevelType w:val="hybridMultilevel"/>
    <w:tmpl w:val="0F16365A"/>
    <w:lvl w:ilvl="0" w:tplc="E198FDF8">
      <w:start w:val="1"/>
      <w:numFmt w:val="decimal"/>
      <w:lvlText w:val="%1"/>
      <w:lvlJc w:val="righ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6" w15:restartNumberingAfterBreak="0">
    <w:nsid w:val="280173AC"/>
    <w:multiLevelType w:val="hybridMultilevel"/>
    <w:tmpl w:val="1700B94C"/>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7" w15:restartNumberingAfterBreak="0">
    <w:nsid w:val="2F5A4A33"/>
    <w:multiLevelType w:val="hybridMultilevel"/>
    <w:tmpl w:val="5896FC0A"/>
    <w:lvl w:ilvl="0" w:tplc="DF78A5AC">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8" w15:restartNumberingAfterBreak="0">
    <w:nsid w:val="30FE4B09"/>
    <w:multiLevelType w:val="hybridMultilevel"/>
    <w:tmpl w:val="5DA8617A"/>
    <w:lvl w:ilvl="0" w:tplc="2C09000F">
      <w:start w:val="1"/>
      <w:numFmt w:val="decimal"/>
      <w:lvlText w:val="%1."/>
      <w:lvlJc w:val="left"/>
      <w:pPr>
        <w:ind w:left="720" w:hanging="360"/>
      </w:pPr>
      <w:rPr>
        <w:rFonts w:hint="default"/>
      </w:rPr>
    </w:lvl>
    <w:lvl w:ilvl="1" w:tplc="2C090019">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9" w15:restartNumberingAfterBreak="0">
    <w:nsid w:val="34D46B97"/>
    <w:multiLevelType w:val="hybridMultilevel"/>
    <w:tmpl w:val="67F6C90A"/>
    <w:lvl w:ilvl="0" w:tplc="2C090001">
      <w:start w:val="1"/>
      <w:numFmt w:val="bullet"/>
      <w:lvlText w:val=""/>
      <w:lvlJc w:val="left"/>
      <w:pPr>
        <w:ind w:left="720" w:hanging="360"/>
      </w:pPr>
      <w:rPr>
        <w:rFonts w:ascii="Symbol" w:hAnsi="Symbol" w:hint="default"/>
      </w:rPr>
    </w:lvl>
    <w:lvl w:ilvl="1" w:tplc="2C090003">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0" w15:restartNumberingAfterBreak="0">
    <w:nsid w:val="395D57AD"/>
    <w:multiLevelType w:val="hybridMultilevel"/>
    <w:tmpl w:val="D8B89F12"/>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1" w15:restartNumberingAfterBreak="0">
    <w:nsid w:val="39E25F05"/>
    <w:multiLevelType w:val="hybridMultilevel"/>
    <w:tmpl w:val="3774B9DA"/>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2" w15:restartNumberingAfterBreak="0">
    <w:nsid w:val="3ABC727E"/>
    <w:multiLevelType w:val="hybridMultilevel"/>
    <w:tmpl w:val="3134E26E"/>
    <w:lvl w:ilvl="0" w:tplc="2C09000D">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3" w15:restartNumberingAfterBreak="0">
    <w:nsid w:val="3BBA0FE8"/>
    <w:multiLevelType w:val="hybridMultilevel"/>
    <w:tmpl w:val="C78CC69A"/>
    <w:lvl w:ilvl="0" w:tplc="2C09000B">
      <w:start w:val="1"/>
      <w:numFmt w:val="bullet"/>
      <w:lvlText w:val=""/>
      <w:lvlJc w:val="left"/>
      <w:pPr>
        <w:ind w:left="1440" w:hanging="360"/>
      </w:pPr>
      <w:rPr>
        <w:rFonts w:ascii="Wingdings" w:hAnsi="Wingdings" w:hint="default"/>
      </w:rPr>
    </w:lvl>
    <w:lvl w:ilvl="1" w:tplc="2C090019" w:tentative="1">
      <w:start w:val="1"/>
      <w:numFmt w:val="lowerLetter"/>
      <w:lvlText w:val="%2."/>
      <w:lvlJc w:val="lef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24" w15:restartNumberingAfterBreak="0">
    <w:nsid w:val="42BC6449"/>
    <w:multiLevelType w:val="hybridMultilevel"/>
    <w:tmpl w:val="19647AE8"/>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5" w15:restartNumberingAfterBreak="0">
    <w:nsid w:val="46ED3CDA"/>
    <w:multiLevelType w:val="hybridMultilevel"/>
    <w:tmpl w:val="08365E56"/>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6" w15:restartNumberingAfterBreak="0">
    <w:nsid w:val="48CA1E8F"/>
    <w:multiLevelType w:val="hybridMultilevel"/>
    <w:tmpl w:val="FE34DB5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7" w15:restartNumberingAfterBreak="0">
    <w:nsid w:val="51696E1F"/>
    <w:multiLevelType w:val="hybridMultilevel"/>
    <w:tmpl w:val="A2F05BC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8" w15:restartNumberingAfterBreak="0">
    <w:nsid w:val="5598675D"/>
    <w:multiLevelType w:val="hybridMultilevel"/>
    <w:tmpl w:val="63C62C9A"/>
    <w:lvl w:ilvl="0" w:tplc="2C09000B">
      <w:start w:val="1"/>
      <w:numFmt w:val="bullet"/>
      <w:lvlText w:val=""/>
      <w:lvlJc w:val="left"/>
      <w:pPr>
        <w:ind w:left="1440" w:hanging="360"/>
      </w:pPr>
      <w:rPr>
        <w:rFonts w:ascii="Wingdings" w:hAnsi="Wingdings"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29" w15:restartNumberingAfterBreak="0">
    <w:nsid w:val="58FB6BA8"/>
    <w:multiLevelType w:val="hybridMultilevel"/>
    <w:tmpl w:val="98C2FADC"/>
    <w:lvl w:ilvl="0" w:tplc="2C09000B">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0" w15:restartNumberingAfterBreak="0">
    <w:nsid w:val="5BCB472E"/>
    <w:multiLevelType w:val="hybridMultilevel"/>
    <w:tmpl w:val="C47ECEA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1" w15:restartNumberingAfterBreak="0">
    <w:nsid w:val="5D205B18"/>
    <w:multiLevelType w:val="hybridMultilevel"/>
    <w:tmpl w:val="BE684688"/>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2" w15:restartNumberingAfterBreak="0">
    <w:nsid w:val="5DD61F01"/>
    <w:multiLevelType w:val="hybridMultilevel"/>
    <w:tmpl w:val="9E94182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3" w15:restartNumberingAfterBreak="0">
    <w:nsid w:val="61E14B24"/>
    <w:multiLevelType w:val="hybridMultilevel"/>
    <w:tmpl w:val="B20E667C"/>
    <w:lvl w:ilvl="0" w:tplc="2C090001">
      <w:start w:val="1"/>
      <w:numFmt w:val="bullet"/>
      <w:lvlText w:val=""/>
      <w:lvlJc w:val="left"/>
      <w:pPr>
        <w:ind w:left="720" w:hanging="360"/>
      </w:pPr>
      <w:rPr>
        <w:rFonts w:ascii="Symbol" w:hAnsi="Symbol" w:hint="default"/>
      </w:rPr>
    </w:lvl>
    <w:lvl w:ilvl="1" w:tplc="2C090003">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4" w15:restartNumberingAfterBreak="0">
    <w:nsid w:val="632E2AFB"/>
    <w:multiLevelType w:val="hybridMultilevel"/>
    <w:tmpl w:val="7CDC8212"/>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5" w15:restartNumberingAfterBreak="0">
    <w:nsid w:val="67754393"/>
    <w:multiLevelType w:val="hybridMultilevel"/>
    <w:tmpl w:val="292A764E"/>
    <w:lvl w:ilvl="0" w:tplc="2C09000F">
      <w:start w:val="1"/>
      <w:numFmt w:val="decimal"/>
      <w:lvlText w:val="%1."/>
      <w:lvlJc w:val="left"/>
      <w:pPr>
        <w:ind w:left="1440" w:hanging="360"/>
      </w:pPr>
    </w:lvl>
    <w:lvl w:ilvl="1" w:tplc="2C090019" w:tentative="1">
      <w:start w:val="1"/>
      <w:numFmt w:val="lowerLetter"/>
      <w:lvlText w:val="%2."/>
      <w:lvlJc w:val="lef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36" w15:restartNumberingAfterBreak="0">
    <w:nsid w:val="69C91E89"/>
    <w:multiLevelType w:val="hybridMultilevel"/>
    <w:tmpl w:val="66E027E8"/>
    <w:lvl w:ilvl="0" w:tplc="2C09000B">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7" w15:restartNumberingAfterBreak="0">
    <w:nsid w:val="6B974546"/>
    <w:multiLevelType w:val="hybridMultilevel"/>
    <w:tmpl w:val="B48293C4"/>
    <w:lvl w:ilvl="0" w:tplc="2C09000D">
      <w:start w:val="1"/>
      <w:numFmt w:val="bullet"/>
      <w:lvlText w:val=""/>
      <w:lvlJc w:val="left"/>
      <w:pPr>
        <w:ind w:left="1440" w:hanging="360"/>
      </w:pPr>
      <w:rPr>
        <w:rFonts w:ascii="Wingdings" w:hAnsi="Wingdings"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38" w15:restartNumberingAfterBreak="0">
    <w:nsid w:val="6E24225E"/>
    <w:multiLevelType w:val="hybridMultilevel"/>
    <w:tmpl w:val="BC2EC430"/>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9" w15:restartNumberingAfterBreak="0">
    <w:nsid w:val="6E2F52D2"/>
    <w:multiLevelType w:val="hybridMultilevel"/>
    <w:tmpl w:val="1CEAADF0"/>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0" w15:restartNumberingAfterBreak="0">
    <w:nsid w:val="6FD208A5"/>
    <w:multiLevelType w:val="hybridMultilevel"/>
    <w:tmpl w:val="B3B842E0"/>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1" w15:restartNumberingAfterBreak="0">
    <w:nsid w:val="7503425F"/>
    <w:multiLevelType w:val="hybridMultilevel"/>
    <w:tmpl w:val="1524455C"/>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2" w15:restartNumberingAfterBreak="0">
    <w:nsid w:val="79770A92"/>
    <w:multiLevelType w:val="hybridMultilevel"/>
    <w:tmpl w:val="FDFA01C0"/>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15"/>
  </w:num>
  <w:num w:numId="2">
    <w:abstractNumId w:val="34"/>
  </w:num>
  <w:num w:numId="3">
    <w:abstractNumId w:val="24"/>
  </w:num>
  <w:num w:numId="4">
    <w:abstractNumId w:val="22"/>
  </w:num>
  <w:num w:numId="5">
    <w:abstractNumId w:val="21"/>
  </w:num>
  <w:num w:numId="6">
    <w:abstractNumId w:val="38"/>
  </w:num>
  <w:num w:numId="7">
    <w:abstractNumId w:val="27"/>
  </w:num>
  <w:num w:numId="8">
    <w:abstractNumId w:val="20"/>
  </w:num>
  <w:num w:numId="9">
    <w:abstractNumId w:val="16"/>
  </w:num>
  <w:num w:numId="10">
    <w:abstractNumId w:val="7"/>
  </w:num>
  <w:num w:numId="11">
    <w:abstractNumId w:val="32"/>
  </w:num>
  <w:num w:numId="12">
    <w:abstractNumId w:val="11"/>
  </w:num>
  <w:num w:numId="13">
    <w:abstractNumId w:val="30"/>
  </w:num>
  <w:num w:numId="14">
    <w:abstractNumId w:val="3"/>
  </w:num>
  <w:num w:numId="15">
    <w:abstractNumId w:val="6"/>
  </w:num>
  <w:num w:numId="16">
    <w:abstractNumId w:val="29"/>
  </w:num>
  <w:num w:numId="17">
    <w:abstractNumId w:val="18"/>
  </w:num>
  <w:num w:numId="18">
    <w:abstractNumId w:val="36"/>
  </w:num>
  <w:num w:numId="19">
    <w:abstractNumId w:val="28"/>
  </w:num>
  <w:num w:numId="20">
    <w:abstractNumId w:val="4"/>
  </w:num>
  <w:num w:numId="21">
    <w:abstractNumId w:val="23"/>
  </w:num>
  <w:num w:numId="22">
    <w:abstractNumId w:val="42"/>
  </w:num>
  <w:num w:numId="23">
    <w:abstractNumId w:val="41"/>
  </w:num>
  <w:num w:numId="24">
    <w:abstractNumId w:val="37"/>
  </w:num>
  <w:num w:numId="25">
    <w:abstractNumId w:val="26"/>
  </w:num>
  <w:num w:numId="26">
    <w:abstractNumId w:val="33"/>
  </w:num>
  <w:num w:numId="27">
    <w:abstractNumId w:val="25"/>
  </w:num>
  <w:num w:numId="28">
    <w:abstractNumId w:val="39"/>
  </w:num>
  <w:num w:numId="29">
    <w:abstractNumId w:val="12"/>
  </w:num>
  <w:num w:numId="30">
    <w:abstractNumId w:val="40"/>
  </w:num>
  <w:num w:numId="31">
    <w:abstractNumId w:val="0"/>
  </w:num>
  <w:num w:numId="32">
    <w:abstractNumId w:val="17"/>
  </w:num>
  <w:num w:numId="33">
    <w:abstractNumId w:val="13"/>
  </w:num>
  <w:num w:numId="34">
    <w:abstractNumId w:val="19"/>
  </w:num>
  <w:num w:numId="35">
    <w:abstractNumId w:val="8"/>
  </w:num>
  <w:num w:numId="36">
    <w:abstractNumId w:val="14"/>
  </w:num>
  <w:num w:numId="37">
    <w:abstractNumId w:val="5"/>
  </w:num>
  <w:num w:numId="38">
    <w:abstractNumId w:val="35"/>
  </w:num>
  <w:num w:numId="39">
    <w:abstractNumId w:val="10"/>
  </w:num>
  <w:num w:numId="40">
    <w:abstractNumId w:val="31"/>
  </w:num>
  <w:num w:numId="41">
    <w:abstractNumId w:val="1"/>
  </w:num>
  <w:num w:numId="42">
    <w:abstractNumId w:val="2"/>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2NDS1MDE3MDQzMjBV0lEKTi0uzszPAykwNKgFAMXByNgtAAAA"/>
  </w:docVars>
  <w:rsids>
    <w:rsidRoot w:val="00F24233"/>
    <w:rsid w:val="00007D5E"/>
    <w:rsid w:val="00010DA7"/>
    <w:rsid w:val="0001359D"/>
    <w:rsid w:val="000204E0"/>
    <w:rsid w:val="000278B6"/>
    <w:rsid w:val="00033130"/>
    <w:rsid w:val="00034512"/>
    <w:rsid w:val="00035762"/>
    <w:rsid w:val="00051511"/>
    <w:rsid w:val="000531D6"/>
    <w:rsid w:val="00054D30"/>
    <w:rsid w:val="00073ED5"/>
    <w:rsid w:val="00082722"/>
    <w:rsid w:val="000A0AEA"/>
    <w:rsid w:val="000C254C"/>
    <w:rsid w:val="000C2E1E"/>
    <w:rsid w:val="000C3319"/>
    <w:rsid w:val="000E03C3"/>
    <w:rsid w:val="000E71AE"/>
    <w:rsid w:val="000F65CB"/>
    <w:rsid w:val="00100812"/>
    <w:rsid w:val="0010767F"/>
    <w:rsid w:val="00120B5D"/>
    <w:rsid w:val="0013541D"/>
    <w:rsid w:val="00136DC3"/>
    <w:rsid w:val="00163BD9"/>
    <w:rsid w:val="0017060A"/>
    <w:rsid w:val="00180C4B"/>
    <w:rsid w:val="00181E9A"/>
    <w:rsid w:val="001823F6"/>
    <w:rsid w:val="00193E6A"/>
    <w:rsid w:val="00194546"/>
    <w:rsid w:val="001A1E7D"/>
    <w:rsid w:val="001A2048"/>
    <w:rsid w:val="001B64D1"/>
    <w:rsid w:val="001B7F87"/>
    <w:rsid w:val="001C000F"/>
    <w:rsid w:val="001D4151"/>
    <w:rsid w:val="002012A3"/>
    <w:rsid w:val="00211DB4"/>
    <w:rsid w:val="00214449"/>
    <w:rsid w:val="002176EC"/>
    <w:rsid w:val="00222048"/>
    <w:rsid w:val="002262F0"/>
    <w:rsid w:val="0023418D"/>
    <w:rsid w:val="00247B47"/>
    <w:rsid w:val="00255C96"/>
    <w:rsid w:val="00256BD4"/>
    <w:rsid w:val="0026002D"/>
    <w:rsid w:val="00263AAF"/>
    <w:rsid w:val="00266CA5"/>
    <w:rsid w:val="00274479"/>
    <w:rsid w:val="00277870"/>
    <w:rsid w:val="002820AE"/>
    <w:rsid w:val="00287B96"/>
    <w:rsid w:val="0029639D"/>
    <w:rsid w:val="00297027"/>
    <w:rsid w:val="002A4DE7"/>
    <w:rsid w:val="002B1459"/>
    <w:rsid w:val="002D53EA"/>
    <w:rsid w:val="002D77BD"/>
    <w:rsid w:val="002F7D20"/>
    <w:rsid w:val="00315409"/>
    <w:rsid w:val="003244F6"/>
    <w:rsid w:val="00343B51"/>
    <w:rsid w:val="0034797B"/>
    <w:rsid w:val="003515C5"/>
    <w:rsid w:val="00362B6A"/>
    <w:rsid w:val="00364321"/>
    <w:rsid w:val="0036769E"/>
    <w:rsid w:val="0038152D"/>
    <w:rsid w:val="003846DC"/>
    <w:rsid w:val="0038563C"/>
    <w:rsid w:val="0038793B"/>
    <w:rsid w:val="00393E3C"/>
    <w:rsid w:val="003A1D34"/>
    <w:rsid w:val="003A7A71"/>
    <w:rsid w:val="003C0533"/>
    <w:rsid w:val="003C550F"/>
    <w:rsid w:val="003C5E5E"/>
    <w:rsid w:val="003D07BC"/>
    <w:rsid w:val="003E388D"/>
    <w:rsid w:val="003E5866"/>
    <w:rsid w:val="003F3DE3"/>
    <w:rsid w:val="00423FF6"/>
    <w:rsid w:val="004372B7"/>
    <w:rsid w:val="00441A61"/>
    <w:rsid w:val="0045297D"/>
    <w:rsid w:val="00487EE5"/>
    <w:rsid w:val="004A145C"/>
    <w:rsid w:val="004C4179"/>
    <w:rsid w:val="004D6181"/>
    <w:rsid w:val="004E1B88"/>
    <w:rsid w:val="004E267C"/>
    <w:rsid w:val="00506210"/>
    <w:rsid w:val="00507641"/>
    <w:rsid w:val="00514DB6"/>
    <w:rsid w:val="005209A0"/>
    <w:rsid w:val="00522C59"/>
    <w:rsid w:val="005260E5"/>
    <w:rsid w:val="00540F29"/>
    <w:rsid w:val="005423A7"/>
    <w:rsid w:val="00544CFE"/>
    <w:rsid w:val="005462C6"/>
    <w:rsid w:val="00547148"/>
    <w:rsid w:val="00553B0C"/>
    <w:rsid w:val="00573EDF"/>
    <w:rsid w:val="00575BAA"/>
    <w:rsid w:val="00583781"/>
    <w:rsid w:val="005920D6"/>
    <w:rsid w:val="00595760"/>
    <w:rsid w:val="005D2ECA"/>
    <w:rsid w:val="005E42ED"/>
    <w:rsid w:val="005F54E8"/>
    <w:rsid w:val="005F72D6"/>
    <w:rsid w:val="006024C6"/>
    <w:rsid w:val="00604A9B"/>
    <w:rsid w:val="0061456C"/>
    <w:rsid w:val="006316AB"/>
    <w:rsid w:val="00642693"/>
    <w:rsid w:val="00645E46"/>
    <w:rsid w:val="006506DC"/>
    <w:rsid w:val="00655BF9"/>
    <w:rsid w:val="00662F37"/>
    <w:rsid w:val="006723A8"/>
    <w:rsid w:val="006755E0"/>
    <w:rsid w:val="00681C7F"/>
    <w:rsid w:val="00684776"/>
    <w:rsid w:val="00686064"/>
    <w:rsid w:val="00694FA4"/>
    <w:rsid w:val="00697939"/>
    <w:rsid w:val="006A3359"/>
    <w:rsid w:val="006A4ED3"/>
    <w:rsid w:val="006A7D01"/>
    <w:rsid w:val="006B06CD"/>
    <w:rsid w:val="006D5CC3"/>
    <w:rsid w:val="006D7DC8"/>
    <w:rsid w:val="006E306E"/>
    <w:rsid w:val="006E6560"/>
    <w:rsid w:val="00706162"/>
    <w:rsid w:val="00711DEA"/>
    <w:rsid w:val="00717682"/>
    <w:rsid w:val="00735635"/>
    <w:rsid w:val="007523B3"/>
    <w:rsid w:val="0075619C"/>
    <w:rsid w:val="0076135C"/>
    <w:rsid w:val="00785B74"/>
    <w:rsid w:val="007A7E77"/>
    <w:rsid w:val="007B0F81"/>
    <w:rsid w:val="007B2D82"/>
    <w:rsid w:val="007B6378"/>
    <w:rsid w:val="007D14E3"/>
    <w:rsid w:val="007D7461"/>
    <w:rsid w:val="007E1E5B"/>
    <w:rsid w:val="007F1A7F"/>
    <w:rsid w:val="00800697"/>
    <w:rsid w:val="00805701"/>
    <w:rsid w:val="00805B0A"/>
    <w:rsid w:val="00805BCC"/>
    <w:rsid w:val="0080642A"/>
    <w:rsid w:val="00806A35"/>
    <w:rsid w:val="00806A7F"/>
    <w:rsid w:val="0081668B"/>
    <w:rsid w:val="00830381"/>
    <w:rsid w:val="008411A5"/>
    <w:rsid w:val="00843664"/>
    <w:rsid w:val="0084392E"/>
    <w:rsid w:val="00855B5C"/>
    <w:rsid w:val="00880208"/>
    <w:rsid w:val="008809A0"/>
    <w:rsid w:val="00887E53"/>
    <w:rsid w:val="008A4F54"/>
    <w:rsid w:val="008C0829"/>
    <w:rsid w:val="008C3916"/>
    <w:rsid w:val="008C77CA"/>
    <w:rsid w:val="008F3E88"/>
    <w:rsid w:val="008F447C"/>
    <w:rsid w:val="009332B1"/>
    <w:rsid w:val="00933DC9"/>
    <w:rsid w:val="00935DCE"/>
    <w:rsid w:val="00954617"/>
    <w:rsid w:val="00961BAE"/>
    <w:rsid w:val="00990DCF"/>
    <w:rsid w:val="009913E4"/>
    <w:rsid w:val="00992147"/>
    <w:rsid w:val="00993431"/>
    <w:rsid w:val="009A4AF0"/>
    <w:rsid w:val="009B1EA5"/>
    <w:rsid w:val="009B58E9"/>
    <w:rsid w:val="009C63F8"/>
    <w:rsid w:val="009D5613"/>
    <w:rsid w:val="009F0A21"/>
    <w:rsid w:val="009F6A04"/>
    <w:rsid w:val="00A01AB7"/>
    <w:rsid w:val="00A03EB9"/>
    <w:rsid w:val="00A2194C"/>
    <w:rsid w:val="00A34A9B"/>
    <w:rsid w:val="00A42EB5"/>
    <w:rsid w:val="00A43935"/>
    <w:rsid w:val="00A5109A"/>
    <w:rsid w:val="00A92307"/>
    <w:rsid w:val="00A92CC6"/>
    <w:rsid w:val="00A93BF2"/>
    <w:rsid w:val="00A9435E"/>
    <w:rsid w:val="00A9470E"/>
    <w:rsid w:val="00AA5224"/>
    <w:rsid w:val="00AB4021"/>
    <w:rsid w:val="00AC7CC9"/>
    <w:rsid w:val="00AD177F"/>
    <w:rsid w:val="00AD71F9"/>
    <w:rsid w:val="00AE03C9"/>
    <w:rsid w:val="00AE266C"/>
    <w:rsid w:val="00AE56D8"/>
    <w:rsid w:val="00AE5872"/>
    <w:rsid w:val="00B02FE9"/>
    <w:rsid w:val="00B21DC6"/>
    <w:rsid w:val="00B445E4"/>
    <w:rsid w:val="00B46906"/>
    <w:rsid w:val="00B51625"/>
    <w:rsid w:val="00B62642"/>
    <w:rsid w:val="00B756A0"/>
    <w:rsid w:val="00B777ED"/>
    <w:rsid w:val="00B77F43"/>
    <w:rsid w:val="00B8464A"/>
    <w:rsid w:val="00B84A99"/>
    <w:rsid w:val="00BC0189"/>
    <w:rsid w:val="00BC6EF6"/>
    <w:rsid w:val="00BD4BF0"/>
    <w:rsid w:val="00BE7281"/>
    <w:rsid w:val="00BF1F5E"/>
    <w:rsid w:val="00C00DAA"/>
    <w:rsid w:val="00C11979"/>
    <w:rsid w:val="00C205CE"/>
    <w:rsid w:val="00C34587"/>
    <w:rsid w:val="00C36EBC"/>
    <w:rsid w:val="00C40537"/>
    <w:rsid w:val="00C50A1C"/>
    <w:rsid w:val="00C55AED"/>
    <w:rsid w:val="00C6350C"/>
    <w:rsid w:val="00C66251"/>
    <w:rsid w:val="00C73508"/>
    <w:rsid w:val="00C92C6C"/>
    <w:rsid w:val="00C9564A"/>
    <w:rsid w:val="00CA3111"/>
    <w:rsid w:val="00CA3E06"/>
    <w:rsid w:val="00CA4E08"/>
    <w:rsid w:val="00CB1D65"/>
    <w:rsid w:val="00CC447F"/>
    <w:rsid w:val="00CD1491"/>
    <w:rsid w:val="00CD32E5"/>
    <w:rsid w:val="00D018F4"/>
    <w:rsid w:val="00D028AD"/>
    <w:rsid w:val="00D05B1E"/>
    <w:rsid w:val="00D11827"/>
    <w:rsid w:val="00D268F0"/>
    <w:rsid w:val="00D31167"/>
    <w:rsid w:val="00D330DE"/>
    <w:rsid w:val="00D41A89"/>
    <w:rsid w:val="00D502BC"/>
    <w:rsid w:val="00D5130C"/>
    <w:rsid w:val="00D51F53"/>
    <w:rsid w:val="00D626AD"/>
    <w:rsid w:val="00D72558"/>
    <w:rsid w:val="00D80254"/>
    <w:rsid w:val="00D845D7"/>
    <w:rsid w:val="00DB1EC7"/>
    <w:rsid w:val="00DC552C"/>
    <w:rsid w:val="00DE470E"/>
    <w:rsid w:val="00DE68A7"/>
    <w:rsid w:val="00DF1A96"/>
    <w:rsid w:val="00DF3D02"/>
    <w:rsid w:val="00E3220C"/>
    <w:rsid w:val="00E35B45"/>
    <w:rsid w:val="00E57851"/>
    <w:rsid w:val="00E61407"/>
    <w:rsid w:val="00E614A8"/>
    <w:rsid w:val="00E616E0"/>
    <w:rsid w:val="00E6248C"/>
    <w:rsid w:val="00E62EE4"/>
    <w:rsid w:val="00E64F56"/>
    <w:rsid w:val="00E65FF2"/>
    <w:rsid w:val="00E75B4D"/>
    <w:rsid w:val="00E75B86"/>
    <w:rsid w:val="00E80EA6"/>
    <w:rsid w:val="00E8384F"/>
    <w:rsid w:val="00E97960"/>
    <w:rsid w:val="00EA5F07"/>
    <w:rsid w:val="00EB3E5E"/>
    <w:rsid w:val="00EF14AF"/>
    <w:rsid w:val="00EF448D"/>
    <w:rsid w:val="00F0061F"/>
    <w:rsid w:val="00F15120"/>
    <w:rsid w:val="00F20D81"/>
    <w:rsid w:val="00F24233"/>
    <w:rsid w:val="00F3302A"/>
    <w:rsid w:val="00F41797"/>
    <w:rsid w:val="00F43EA5"/>
    <w:rsid w:val="00F57A1A"/>
    <w:rsid w:val="00F71537"/>
    <w:rsid w:val="00F77246"/>
    <w:rsid w:val="00F90829"/>
    <w:rsid w:val="00F963D3"/>
    <w:rsid w:val="00FA5058"/>
    <w:rsid w:val="00FA6030"/>
    <w:rsid w:val="00FA6951"/>
    <w:rsid w:val="00FD5BD6"/>
    <w:rsid w:val="00FF58E0"/>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1A41A"/>
  <w15:chartTrackingRefBased/>
  <w15:docId w15:val="{53A8CCB9-A313-471A-9E85-B1AC62CB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423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F24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24233"/>
    <w:pPr>
      <w:spacing w:after="0" w:line="240" w:lineRule="auto"/>
    </w:pPr>
    <w:rPr>
      <w:rFonts w:eastAsiaTheme="minorEastAsia"/>
      <w:lang w:eastAsia="en-TT"/>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A7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A71"/>
    <w:rPr>
      <w:rFonts w:ascii="Segoe UI" w:hAnsi="Segoe UI" w:cs="Segoe UI"/>
      <w:sz w:val="18"/>
      <w:szCs w:val="18"/>
    </w:rPr>
  </w:style>
  <w:style w:type="character" w:styleId="CommentReference">
    <w:name w:val="annotation reference"/>
    <w:basedOn w:val="DefaultParagraphFont"/>
    <w:uiPriority w:val="99"/>
    <w:semiHidden/>
    <w:unhideWhenUsed/>
    <w:rsid w:val="000F65CB"/>
    <w:rPr>
      <w:sz w:val="16"/>
      <w:szCs w:val="16"/>
    </w:rPr>
  </w:style>
  <w:style w:type="paragraph" w:styleId="CommentText">
    <w:name w:val="annotation text"/>
    <w:basedOn w:val="Normal"/>
    <w:link w:val="CommentTextChar"/>
    <w:uiPriority w:val="99"/>
    <w:semiHidden/>
    <w:unhideWhenUsed/>
    <w:rsid w:val="000F65CB"/>
    <w:pPr>
      <w:spacing w:line="240" w:lineRule="auto"/>
    </w:pPr>
    <w:rPr>
      <w:sz w:val="20"/>
      <w:szCs w:val="20"/>
    </w:rPr>
  </w:style>
  <w:style w:type="character" w:customStyle="1" w:styleId="CommentTextChar">
    <w:name w:val="Comment Text Char"/>
    <w:basedOn w:val="DefaultParagraphFont"/>
    <w:link w:val="CommentText"/>
    <w:uiPriority w:val="99"/>
    <w:semiHidden/>
    <w:rsid w:val="000F65CB"/>
    <w:rPr>
      <w:sz w:val="20"/>
      <w:szCs w:val="20"/>
    </w:rPr>
  </w:style>
  <w:style w:type="paragraph" w:styleId="CommentSubject">
    <w:name w:val="annotation subject"/>
    <w:basedOn w:val="CommentText"/>
    <w:next w:val="CommentText"/>
    <w:link w:val="CommentSubjectChar"/>
    <w:uiPriority w:val="99"/>
    <w:semiHidden/>
    <w:unhideWhenUsed/>
    <w:rsid w:val="000F65CB"/>
    <w:rPr>
      <w:b/>
      <w:bCs/>
    </w:rPr>
  </w:style>
  <w:style w:type="character" w:customStyle="1" w:styleId="CommentSubjectChar">
    <w:name w:val="Comment Subject Char"/>
    <w:basedOn w:val="CommentTextChar"/>
    <w:link w:val="CommentSubject"/>
    <w:uiPriority w:val="99"/>
    <w:semiHidden/>
    <w:rsid w:val="000F65CB"/>
    <w:rPr>
      <w:b/>
      <w:bCs/>
      <w:sz w:val="20"/>
      <w:szCs w:val="20"/>
    </w:rPr>
  </w:style>
  <w:style w:type="character" w:styleId="Hyperlink">
    <w:name w:val="Hyperlink"/>
    <w:basedOn w:val="DefaultParagraphFont"/>
    <w:uiPriority w:val="99"/>
    <w:unhideWhenUsed/>
    <w:rsid w:val="009F6A04"/>
    <w:rPr>
      <w:color w:val="0000FF"/>
      <w:u w:val="single"/>
    </w:rPr>
  </w:style>
  <w:style w:type="paragraph" w:styleId="Header">
    <w:name w:val="header"/>
    <w:basedOn w:val="Normal"/>
    <w:link w:val="HeaderChar"/>
    <w:uiPriority w:val="99"/>
    <w:unhideWhenUsed/>
    <w:rsid w:val="009F6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A04"/>
  </w:style>
  <w:style w:type="paragraph" w:styleId="Footer">
    <w:name w:val="footer"/>
    <w:basedOn w:val="Normal"/>
    <w:link w:val="FooterChar"/>
    <w:uiPriority w:val="99"/>
    <w:unhideWhenUsed/>
    <w:rsid w:val="009F6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A04"/>
  </w:style>
  <w:style w:type="table" w:customStyle="1" w:styleId="TableGrid1">
    <w:name w:val="Table Grid1"/>
    <w:basedOn w:val="TableNormal"/>
    <w:next w:val="TableGrid"/>
    <w:uiPriority w:val="39"/>
    <w:rsid w:val="00B02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44F6"/>
    <w:pPr>
      <w:ind w:left="720"/>
      <w:contextualSpacing/>
    </w:pPr>
  </w:style>
  <w:style w:type="character" w:styleId="UnresolvedMention">
    <w:name w:val="Unresolved Mention"/>
    <w:basedOn w:val="DefaultParagraphFont"/>
    <w:uiPriority w:val="99"/>
    <w:semiHidden/>
    <w:unhideWhenUsed/>
    <w:rsid w:val="000C3319"/>
    <w:rPr>
      <w:color w:val="808080"/>
      <w:shd w:val="clear" w:color="auto" w:fill="E6E6E6"/>
    </w:rPr>
  </w:style>
  <w:style w:type="character" w:styleId="FollowedHyperlink">
    <w:name w:val="FollowedHyperlink"/>
    <w:basedOn w:val="DefaultParagraphFont"/>
    <w:uiPriority w:val="99"/>
    <w:semiHidden/>
    <w:unhideWhenUsed/>
    <w:rsid w:val="00A943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667250">
      <w:bodyDiv w:val="1"/>
      <w:marLeft w:val="0"/>
      <w:marRight w:val="0"/>
      <w:marTop w:val="0"/>
      <w:marBottom w:val="0"/>
      <w:divBdr>
        <w:top w:val="none" w:sz="0" w:space="0" w:color="auto"/>
        <w:left w:val="none" w:sz="0" w:space="0" w:color="auto"/>
        <w:bottom w:val="none" w:sz="0" w:space="0" w:color="auto"/>
        <w:right w:val="none" w:sz="0" w:space="0" w:color="auto"/>
      </w:divBdr>
      <w:divsChild>
        <w:div w:id="408308842">
          <w:marLeft w:val="0"/>
          <w:marRight w:val="0"/>
          <w:marTop w:val="0"/>
          <w:marBottom w:val="0"/>
          <w:divBdr>
            <w:top w:val="none" w:sz="0" w:space="0" w:color="auto"/>
            <w:left w:val="none" w:sz="0" w:space="0" w:color="auto"/>
            <w:bottom w:val="none" w:sz="0" w:space="0" w:color="auto"/>
            <w:right w:val="none" w:sz="0" w:space="0" w:color="auto"/>
          </w:divBdr>
          <w:divsChild>
            <w:div w:id="1877692899">
              <w:marLeft w:val="0"/>
              <w:marRight w:val="0"/>
              <w:marTop w:val="0"/>
              <w:marBottom w:val="0"/>
              <w:divBdr>
                <w:top w:val="none" w:sz="0" w:space="0" w:color="auto"/>
                <w:left w:val="none" w:sz="0" w:space="0" w:color="auto"/>
                <w:bottom w:val="none" w:sz="0" w:space="0" w:color="auto"/>
                <w:right w:val="none" w:sz="0" w:space="0" w:color="auto"/>
              </w:divBdr>
              <w:divsChild>
                <w:div w:id="18543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6865">
      <w:bodyDiv w:val="1"/>
      <w:marLeft w:val="0"/>
      <w:marRight w:val="0"/>
      <w:marTop w:val="0"/>
      <w:marBottom w:val="0"/>
      <w:divBdr>
        <w:top w:val="none" w:sz="0" w:space="0" w:color="auto"/>
        <w:left w:val="none" w:sz="0" w:space="0" w:color="auto"/>
        <w:bottom w:val="none" w:sz="0" w:space="0" w:color="auto"/>
        <w:right w:val="none" w:sz="0" w:space="0" w:color="auto"/>
      </w:divBdr>
      <w:divsChild>
        <w:div w:id="1060204516">
          <w:marLeft w:val="0"/>
          <w:marRight w:val="0"/>
          <w:marTop w:val="0"/>
          <w:marBottom w:val="0"/>
          <w:divBdr>
            <w:top w:val="none" w:sz="0" w:space="0" w:color="auto"/>
            <w:left w:val="none" w:sz="0" w:space="0" w:color="auto"/>
            <w:bottom w:val="none" w:sz="0" w:space="0" w:color="auto"/>
            <w:right w:val="none" w:sz="0" w:space="0" w:color="auto"/>
          </w:divBdr>
          <w:divsChild>
            <w:div w:id="1288468330">
              <w:marLeft w:val="0"/>
              <w:marRight w:val="0"/>
              <w:marTop w:val="0"/>
              <w:marBottom w:val="0"/>
              <w:divBdr>
                <w:top w:val="none" w:sz="0" w:space="0" w:color="auto"/>
                <w:left w:val="none" w:sz="0" w:space="0" w:color="auto"/>
                <w:bottom w:val="none" w:sz="0" w:space="0" w:color="auto"/>
                <w:right w:val="none" w:sz="0" w:space="0" w:color="auto"/>
              </w:divBdr>
              <w:divsChild>
                <w:div w:id="17494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76761">
      <w:bodyDiv w:val="1"/>
      <w:marLeft w:val="0"/>
      <w:marRight w:val="0"/>
      <w:marTop w:val="0"/>
      <w:marBottom w:val="0"/>
      <w:divBdr>
        <w:top w:val="none" w:sz="0" w:space="0" w:color="auto"/>
        <w:left w:val="none" w:sz="0" w:space="0" w:color="auto"/>
        <w:bottom w:val="none" w:sz="0" w:space="0" w:color="auto"/>
        <w:right w:val="none" w:sz="0" w:space="0" w:color="auto"/>
      </w:divBdr>
    </w:div>
    <w:div w:id="114570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iccas.gd/?q=community-projects/120/GOAM" TargetMode="External"/><Relationship Id="rId3" Type="http://schemas.openxmlformats.org/officeDocument/2006/relationships/styles" Target="styles.xml"/><Relationship Id="rId21" Type="http://schemas.openxmlformats.org/officeDocument/2006/relationships/hyperlink" Target="http://www.napglobalnetwork.org/wp-content/uploads/2016/06/sNAPshot-Grenada-June2016-Letter-1.pd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youtu.be/i7s_hX7Y6kQ" TargetMode="External"/><Relationship Id="rId2" Type="http://schemas.openxmlformats.org/officeDocument/2006/relationships/numbering" Target="numbering.xml"/><Relationship Id="rId16" Type="http://schemas.openxmlformats.org/officeDocument/2006/relationships/hyperlink" Target="mailto:davidasimmons@outlook.com" TargetMode="External"/><Relationship Id="rId20" Type="http://schemas.openxmlformats.org/officeDocument/2006/relationships/hyperlink" Target="http://adaptation-undp.org/projects/bf-grena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iccas.gd/?q=community-projects/72/Climate%20Smart%20Agriculture%20%28CSA%2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avidAsimmons@outlook.com" TargetMode="External"/><Relationship Id="rId22" Type="http://schemas.openxmlformats.org/officeDocument/2006/relationships/hyperlink" Target="https://www.ifad.org/web/operations/project/id/2000001475/country/gren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9E737-5260-495D-88BF-4DE391833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Simmons</dc:creator>
  <cp:keywords/>
  <dc:description/>
  <cp:lastModifiedBy>David A Simmons</cp:lastModifiedBy>
  <cp:revision>6</cp:revision>
  <cp:lastPrinted>2018-03-31T18:33:00Z</cp:lastPrinted>
  <dcterms:created xsi:type="dcterms:W3CDTF">2018-06-04T13:30:00Z</dcterms:created>
  <dcterms:modified xsi:type="dcterms:W3CDTF">2018-06-06T12:39:00Z</dcterms:modified>
</cp:coreProperties>
</file>