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F3920" w14:textId="77777777" w:rsidR="009F6A04" w:rsidRDefault="00F632FF" w:rsidP="009F6A04">
      <w:r>
        <w:rPr>
          <w:noProof/>
        </w:rPr>
        <w:drawing>
          <wp:anchor distT="0" distB="0" distL="114300" distR="114300" simplePos="0" relativeHeight="251661312" behindDoc="0" locked="0" layoutInCell="1" allowOverlap="1" wp14:anchorId="64B780AF" wp14:editId="6ED0A565">
            <wp:simplePos x="0" y="0"/>
            <wp:positionH relativeFrom="column">
              <wp:posOffset>3952875</wp:posOffset>
            </wp:positionH>
            <wp:positionV relativeFrom="paragraph">
              <wp:posOffset>-175260</wp:posOffset>
            </wp:positionV>
            <wp:extent cx="2383790" cy="993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3790" cy="993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565FC24" wp14:editId="4486D302">
            <wp:simplePos x="0" y="0"/>
            <wp:positionH relativeFrom="column">
              <wp:posOffset>805815</wp:posOffset>
            </wp:positionH>
            <wp:positionV relativeFrom="paragraph">
              <wp:posOffset>-129540</wp:posOffset>
            </wp:positionV>
            <wp:extent cx="2933700" cy="948690"/>
            <wp:effectExtent l="0" t="0" r="0" b="3810"/>
            <wp:wrapNone/>
            <wp:docPr id="3" name="Picture 3" descr="ICC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CA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948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359DD14" wp14:editId="29830A94">
            <wp:simplePos x="0" y="0"/>
            <wp:positionH relativeFrom="column">
              <wp:posOffset>-314325</wp:posOffset>
            </wp:positionH>
            <wp:positionV relativeFrom="paragraph">
              <wp:posOffset>-409575</wp:posOffset>
            </wp:positionV>
            <wp:extent cx="857250" cy="1609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1609725"/>
                    </a:xfrm>
                    <a:prstGeom prst="rect">
                      <a:avLst/>
                    </a:prstGeom>
                    <a:noFill/>
                  </pic:spPr>
                </pic:pic>
              </a:graphicData>
            </a:graphic>
            <wp14:sizeRelH relativeFrom="page">
              <wp14:pctWidth>0</wp14:pctWidth>
            </wp14:sizeRelH>
            <wp14:sizeRelV relativeFrom="page">
              <wp14:pctHeight>0</wp14:pctHeight>
            </wp14:sizeRelV>
          </wp:anchor>
        </w:drawing>
      </w:r>
    </w:p>
    <w:p w14:paraId="6C0F3AD8" w14:textId="77777777" w:rsidR="009F6A04" w:rsidRDefault="009F6A04" w:rsidP="009F6A04"/>
    <w:p w14:paraId="1F514F7B" w14:textId="77777777" w:rsidR="009F6A04" w:rsidRDefault="009F6A04" w:rsidP="009F6A04">
      <w:pPr>
        <w:autoSpaceDE w:val="0"/>
        <w:autoSpaceDN w:val="0"/>
        <w:adjustRightInd w:val="0"/>
        <w:spacing w:after="0" w:line="240" w:lineRule="auto"/>
        <w:rPr>
          <w:rFonts w:ascii="Calibri" w:hAnsi="Calibri" w:cs="Calibri"/>
          <w:color w:val="000000"/>
          <w:sz w:val="24"/>
          <w:szCs w:val="24"/>
        </w:rPr>
      </w:pPr>
    </w:p>
    <w:p w14:paraId="0D62E173" w14:textId="77777777" w:rsidR="009F6A04" w:rsidRDefault="009F6A04" w:rsidP="009F6A04">
      <w:pPr>
        <w:autoSpaceDE w:val="0"/>
        <w:autoSpaceDN w:val="0"/>
        <w:adjustRightInd w:val="0"/>
        <w:spacing w:after="0" w:line="240" w:lineRule="auto"/>
        <w:rPr>
          <w:sz w:val="24"/>
          <w:szCs w:val="24"/>
        </w:rPr>
      </w:pPr>
    </w:p>
    <w:p w14:paraId="256FC25C" w14:textId="77777777" w:rsidR="009F6A04" w:rsidRDefault="009F6A04" w:rsidP="009F6A04">
      <w:pPr>
        <w:autoSpaceDE w:val="0"/>
        <w:autoSpaceDN w:val="0"/>
        <w:adjustRightInd w:val="0"/>
        <w:spacing w:after="0" w:line="240" w:lineRule="auto"/>
        <w:rPr>
          <w:sz w:val="24"/>
          <w:szCs w:val="24"/>
        </w:rPr>
      </w:pPr>
    </w:p>
    <w:p w14:paraId="4B800522" w14:textId="70422A4A" w:rsidR="009F6A04" w:rsidRDefault="00697A11" w:rsidP="009F6A04">
      <w:pPr>
        <w:autoSpaceDE w:val="0"/>
        <w:autoSpaceDN w:val="0"/>
        <w:adjustRightInd w:val="0"/>
        <w:spacing w:after="0" w:line="240" w:lineRule="auto"/>
        <w:rPr>
          <w:sz w:val="24"/>
          <w:szCs w:val="24"/>
        </w:rPr>
      </w:pPr>
      <w:r>
        <w:rPr>
          <w:b/>
          <w:bCs/>
          <w:noProof/>
          <w:sz w:val="23"/>
          <w:szCs w:val="23"/>
        </w:rPr>
        <mc:AlternateContent>
          <mc:Choice Requires="wps">
            <w:drawing>
              <wp:anchor distT="0" distB="0" distL="114300" distR="114300" simplePos="0" relativeHeight="251662336" behindDoc="0" locked="0" layoutInCell="1" allowOverlap="1" wp14:anchorId="25BCB36F" wp14:editId="1CBB0C5B">
                <wp:simplePos x="0" y="0"/>
                <wp:positionH relativeFrom="column">
                  <wp:posOffset>-228600</wp:posOffset>
                </wp:positionH>
                <wp:positionV relativeFrom="paragraph">
                  <wp:posOffset>241935</wp:posOffset>
                </wp:positionV>
                <wp:extent cx="63627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FC95FF"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9.05pt" to="48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" strokecolor="red" strokeweight="1.5pt">
                <v:stroke joinstyle="miter"/>
              </v:line>
            </w:pict>
          </mc:Fallback>
        </mc:AlternateContent>
      </w:r>
    </w:p>
    <w:p w14:paraId="0951CEA9" w14:textId="57C65F48" w:rsidR="009F6A04" w:rsidRDefault="009F6A04" w:rsidP="009F6A04">
      <w:pPr>
        <w:jc w:val="center"/>
        <w:rPr>
          <w:b/>
          <w:bCs/>
          <w:sz w:val="23"/>
          <w:szCs w:val="23"/>
        </w:rPr>
      </w:pPr>
    </w:p>
    <w:p w14:paraId="02C6449F" w14:textId="77777777" w:rsidR="009F6A04" w:rsidRDefault="004F7201" w:rsidP="009F6A04">
      <w:pPr>
        <w:jc w:val="center"/>
        <w:rPr>
          <w:b/>
          <w:bCs/>
          <w:sz w:val="32"/>
          <w:szCs w:val="32"/>
        </w:rPr>
      </w:pPr>
      <w:r>
        <w:rPr>
          <w:b/>
          <w:bCs/>
          <w:sz w:val="32"/>
          <w:szCs w:val="32"/>
        </w:rPr>
        <w:t>CASE STUDY</w:t>
      </w:r>
      <w:r w:rsidR="009F6A04">
        <w:rPr>
          <w:b/>
          <w:bCs/>
          <w:sz w:val="32"/>
          <w:szCs w:val="32"/>
        </w:rPr>
        <w:t>: ICCAS PROJECT</w:t>
      </w:r>
    </w:p>
    <w:p w14:paraId="0B434295" w14:textId="77777777" w:rsidR="0081767D" w:rsidRDefault="00AF7953">
      <w:pPr>
        <w:spacing w:after="0"/>
        <w:jc w:val="center"/>
        <w:rPr>
          <w:b/>
          <w:bCs/>
          <w:sz w:val="32"/>
          <w:szCs w:val="32"/>
        </w:rPr>
      </w:pPr>
      <w:r>
        <w:rPr>
          <w:b/>
          <w:bCs/>
          <w:sz w:val="32"/>
          <w:szCs w:val="32"/>
        </w:rPr>
        <w:t xml:space="preserve">Implementing a </w:t>
      </w:r>
      <w:r w:rsidR="005C2355">
        <w:rPr>
          <w:b/>
          <w:bCs/>
          <w:sz w:val="32"/>
          <w:szCs w:val="32"/>
        </w:rPr>
        <w:t>Community</w:t>
      </w:r>
      <w:r>
        <w:rPr>
          <w:b/>
          <w:bCs/>
          <w:sz w:val="32"/>
          <w:szCs w:val="32"/>
        </w:rPr>
        <w:t xml:space="preserve"> Climate Change Adaptation Fund: Grenada</w:t>
      </w:r>
    </w:p>
    <w:p w14:paraId="2E5E1829" w14:textId="2810A7C7" w:rsidR="005C2355" w:rsidRDefault="00697A11" w:rsidP="009F6A04">
      <w:pPr>
        <w:spacing w:after="0"/>
        <w:jc w:val="center"/>
      </w:pPr>
      <w:r>
        <w:rPr>
          <w:noProof/>
        </w:rPr>
        <mc:AlternateContent>
          <mc:Choice Requires="wps">
            <w:drawing>
              <wp:anchor distT="0" distB="0" distL="114300" distR="114300" simplePos="0" relativeHeight="251663360" behindDoc="0" locked="0" layoutInCell="1" allowOverlap="1" wp14:anchorId="6DBDA753" wp14:editId="0E6622D7">
                <wp:simplePos x="0" y="0"/>
                <wp:positionH relativeFrom="column">
                  <wp:posOffset>-228600</wp:posOffset>
                </wp:positionH>
                <wp:positionV relativeFrom="paragraph">
                  <wp:posOffset>229235</wp:posOffset>
                </wp:positionV>
                <wp:extent cx="63627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4BF5AD"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pt,18.05pt" to="48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" strokecolor="red" strokeweight="1.5pt">
                <v:stroke joinstyle="miter"/>
              </v:line>
            </w:pict>
          </mc:Fallback>
        </mc:AlternateContent>
      </w:r>
    </w:p>
    <w:p w14:paraId="6AD1B90B" w14:textId="5E1AF602" w:rsidR="009F6A04" w:rsidRDefault="009F6A04" w:rsidP="009F6A04">
      <w:pPr>
        <w:spacing w:after="0"/>
        <w:jc w:val="center"/>
        <w:rPr>
          <w:b/>
          <w:sz w:val="28"/>
          <w:szCs w:val="28"/>
        </w:rPr>
      </w:pPr>
    </w:p>
    <w:p w14:paraId="0AB4DBFD" w14:textId="4B5CA336" w:rsidR="009F6A04" w:rsidRDefault="00697A11" w:rsidP="009F6A04">
      <w:pPr>
        <w:spacing w:after="0"/>
        <w:jc w:val="center"/>
        <w:rPr>
          <w:b/>
          <w:sz w:val="28"/>
          <w:szCs w:val="28"/>
        </w:rPr>
      </w:pPr>
      <w:r w:rsidRPr="005C2355">
        <w:rPr>
          <w:noProof/>
        </w:rPr>
        <w:drawing>
          <wp:anchor distT="0" distB="0" distL="114300" distR="114300" simplePos="0" relativeHeight="251664384" behindDoc="0" locked="0" layoutInCell="1" allowOverlap="1" wp14:anchorId="2339A017" wp14:editId="7A04F3FC">
            <wp:simplePos x="0" y="0"/>
            <wp:positionH relativeFrom="column">
              <wp:posOffset>1943100</wp:posOffset>
            </wp:positionH>
            <wp:positionV relativeFrom="paragraph">
              <wp:posOffset>172720</wp:posOffset>
            </wp:positionV>
            <wp:extent cx="1943100" cy="28168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r="53353"/>
                    <a:stretch/>
                  </pic:blipFill>
                  <pic:spPr bwMode="auto">
                    <a:xfrm>
                      <a:off x="0" y="0"/>
                      <a:ext cx="1944401" cy="28187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7C5B" w:rsidRPr="003E7C5B">
        <w:rPr>
          <w:noProof/>
        </w:rPr>
        <w:t xml:space="preserve"> </w:t>
      </w:r>
    </w:p>
    <w:p w14:paraId="576833E1" w14:textId="77777777" w:rsidR="009F6A04" w:rsidRDefault="009F6A04" w:rsidP="009F6A04">
      <w:pPr>
        <w:spacing w:after="0"/>
        <w:jc w:val="center"/>
        <w:rPr>
          <w:b/>
          <w:sz w:val="28"/>
          <w:szCs w:val="28"/>
        </w:rPr>
      </w:pPr>
    </w:p>
    <w:p w14:paraId="539B16B4" w14:textId="0A32A3B3" w:rsidR="009F6A04" w:rsidRDefault="009F6A04" w:rsidP="009F6A04">
      <w:pPr>
        <w:spacing w:after="0"/>
        <w:jc w:val="center"/>
        <w:rPr>
          <w:b/>
          <w:sz w:val="28"/>
          <w:szCs w:val="28"/>
        </w:rPr>
      </w:pPr>
    </w:p>
    <w:p w14:paraId="53BEBE7A" w14:textId="1C16DBD0" w:rsidR="00697A11" w:rsidRDefault="00697A11" w:rsidP="009F6A04">
      <w:pPr>
        <w:spacing w:after="0"/>
        <w:jc w:val="center"/>
        <w:rPr>
          <w:b/>
          <w:sz w:val="28"/>
          <w:szCs w:val="28"/>
        </w:rPr>
      </w:pPr>
    </w:p>
    <w:p w14:paraId="33FB8737" w14:textId="537F1BDA" w:rsidR="00697A11" w:rsidRDefault="00697A11" w:rsidP="009F6A04">
      <w:pPr>
        <w:spacing w:after="0"/>
        <w:jc w:val="center"/>
        <w:rPr>
          <w:b/>
          <w:sz w:val="28"/>
          <w:szCs w:val="28"/>
        </w:rPr>
      </w:pPr>
    </w:p>
    <w:p w14:paraId="4E5C4FFD" w14:textId="467575ED" w:rsidR="00697A11" w:rsidRDefault="00697A11" w:rsidP="009F6A04">
      <w:pPr>
        <w:spacing w:after="0"/>
        <w:jc w:val="center"/>
        <w:rPr>
          <w:b/>
          <w:sz w:val="28"/>
          <w:szCs w:val="28"/>
        </w:rPr>
      </w:pPr>
    </w:p>
    <w:p w14:paraId="2339D6D9" w14:textId="4CFBD460" w:rsidR="00697A11" w:rsidRDefault="00697A11" w:rsidP="009F6A04">
      <w:pPr>
        <w:spacing w:after="0"/>
        <w:jc w:val="center"/>
        <w:rPr>
          <w:b/>
          <w:sz w:val="28"/>
          <w:szCs w:val="28"/>
        </w:rPr>
      </w:pPr>
    </w:p>
    <w:p w14:paraId="740F4894" w14:textId="09605094" w:rsidR="00697A11" w:rsidRDefault="00697A11" w:rsidP="009F6A04">
      <w:pPr>
        <w:spacing w:after="0"/>
        <w:jc w:val="center"/>
        <w:rPr>
          <w:b/>
          <w:sz w:val="28"/>
          <w:szCs w:val="28"/>
        </w:rPr>
      </w:pPr>
    </w:p>
    <w:p w14:paraId="4EFFE627" w14:textId="4A2D3C56" w:rsidR="00697A11" w:rsidRDefault="00697A11" w:rsidP="009F6A04">
      <w:pPr>
        <w:spacing w:after="0"/>
        <w:jc w:val="center"/>
        <w:rPr>
          <w:b/>
          <w:sz w:val="28"/>
          <w:szCs w:val="28"/>
        </w:rPr>
      </w:pPr>
    </w:p>
    <w:p w14:paraId="447084BC" w14:textId="2BA103CE" w:rsidR="00697A11" w:rsidRDefault="00697A11" w:rsidP="009F6A04">
      <w:pPr>
        <w:spacing w:after="0"/>
        <w:jc w:val="center"/>
        <w:rPr>
          <w:b/>
          <w:sz w:val="28"/>
          <w:szCs w:val="28"/>
        </w:rPr>
      </w:pPr>
    </w:p>
    <w:p w14:paraId="5B1BB1B4" w14:textId="507D2540" w:rsidR="00697A11" w:rsidRDefault="00697A11" w:rsidP="009F6A04">
      <w:pPr>
        <w:spacing w:after="0"/>
        <w:jc w:val="center"/>
        <w:rPr>
          <w:b/>
          <w:sz w:val="28"/>
          <w:szCs w:val="28"/>
        </w:rPr>
      </w:pPr>
    </w:p>
    <w:p w14:paraId="6C0AE070" w14:textId="6061CD5A" w:rsidR="00697A11" w:rsidRDefault="00697A11" w:rsidP="009F6A04">
      <w:pPr>
        <w:spacing w:after="0"/>
        <w:jc w:val="center"/>
        <w:rPr>
          <w:b/>
          <w:sz w:val="28"/>
          <w:szCs w:val="28"/>
        </w:rPr>
      </w:pPr>
    </w:p>
    <w:p w14:paraId="230FE03F" w14:textId="027670CB" w:rsidR="00697A11" w:rsidRDefault="00697A11" w:rsidP="009F6A04">
      <w:pPr>
        <w:spacing w:after="0"/>
        <w:jc w:val="center"/>
        <w:rPr>
          <w:b/>
          <w:sz w:val="28"/>
          <w:szCs w:val="28"/>
        </w:rPr>
      </w:pPr>
    </w:p>
    <w:p w14:paraId="14D1D4C5" w14:textId="77777777" w:rsidR="00697A11" w:rsidRDefault="00697A11" w:rsidP="009F6A04">
      <w:pPr>
        <w:spacing w:after="0"/>
        <w:jc w:val="center"/>
        <w:rPr>
          <w:b/>
          <w:sz w:val="28"/>
          <w:szCs w:val="28"/>
        </w:rPr>
      </w:pPr>
    </w:p>
    <w:p w14:paraId="6DE3AB9B" w14:textId="523B5371" w:rsidR="00697A11" w:rsidRDefault="00697A11" w:rsidP="009F6A04">
      <w:pPr>
        <w:spacing w:after="0"/>
        <w:jc w:val="center"/>
        <w:rPr>
          <w:b/>
          <w:sz w:val="28"/>
          <w:szCs w:val="28"/>
        </w:rPr>
      </w:pPr>
    </w:p>
    <w:p w14:paraId="48FCF2E3" w14:textId="77777777" w:rsidR="00697A11" w:rsidRDefault="00697A11" w:rsidP="009F6A04">
      <w:pPr>
        <w:spacing w:after="0"/>
        <w:jc w:val="center"/>
        <w:rPr>
          <w:b/>
          <w:sz w:val="28"/>
          <w:szCs w:val="28"/>
        </w:rPr>
      </w:pPr>
    </w:p>
    <w:p w14:paraId="7FC2DAAB" w14:textId="77777777" w:rsidR="009F6A04" w:rsidRDefault="009F6A04" w:rsidP="009F6A04">
      <w:pPr>
        <w:spacing w:after="0"/>
        <w:jc w:val="center"/>
        <w:rPr>
          <w:b/>
          <w:sz w:val="28"/>
          <w:szCs w:val="28"/>
        </w:rPr>
      </w:pPr>
      <w:r>
        <w:rPr>
          <w:b/>
          <w:sz w:val="28"/>
          <w:szCs w:val="28"/>
        </w:rPr>
        <w:t xml:space="preserve">Submitted </w:t>
      </w:r>
    </w:p>
    <w:p w14:paraId="714BC5CF" w14:textId="77777777" w:rsidR="009F6A04" w:rsidRDefault="009F6A04" w:rsidP="009F6A04">
      <w:pPr>
        <w:jc w:val="center"/>
      </w:pPr>
      <w:r>
        <w:t>By</w:t>
      </w:r>
    </w:p>
    <w:p w14:paraId="02F0816D" w14:textId="77777777" w:rsidR="009F6A04" w:rsidRDefault="009F6A04" w:rsidP="009F6A04">
      <w:pPr>
        <w:spacing w:after="0"/>
        <w:jc w:val="center"/>
        <w:rPr>
          <w:b/>
          <w:sz w:val="28"/>
          <w:szCs w:val="28"/>
        </w:rPr>
      </w:pPr>
      <w:r>
        <w:rPr>
          <w:b/>
          <w:sz w:val="28"/>
          <w:szCs w:val="28"/>
        </w:rPr>
        <w:t>David A. Simmons</w:t>
      </w:r>
    </w:p>
    <w:p w14:paraId="5FA1E360" w14:textId="77777777" w:rsidR="009F6A04" w:rsidRDefault="009F6A04" w:rsidP="009F6A04">
      <w:pPr>
        <w:spacing w:after="0"/>
        <w:jc w:val="center"/>
      </w:pPr>
      <w:r>
        <w:t>92A Benjamin St., Diego Martin</w:t>
      </w:r>
    </w:p>
    <w:p w14:paraId="609CBD3B" w14:textId="77777777" w:rsidR="009F6A04" w:rsidRDefault="009F6A04" w:rsidP="009F6A04">
      <w:pPr>
        <w:jc w:val="center"/>
      </w:pPr>
      <w:r>
        <w:t>Trinidad and Tobago</w:t>
      </w:r>
    </w:p>
    <w:p w14:paraId="78146BBA" w14:textId="77777777" w:rsidR="009F6A04" w:rsidRPr="009F6A04" w:rsidRDefault="009F6A04" w:rsidP="009F6A04">
      <w:pPr>
        <w:jc w:val="center"/>
        <w:rPr>
          <w:b/>
        </w:rPr>
        <w:sectPr w:rsidR="009F6A04" w:rsidRPr="009F6A04" w:rsidSect="00697A11">
          <w:footerReference w:type="default" r:id="rId12"/>
          <w:pgSz w:w="12240" w:h="15840"/>
          <w:pgMar w:top="1440" w:right="1440" w:bottom="1440" w:left="1440" w:header="708" w:footer="708" w:gutter="0"/>
          <w:pgBorders w:display="firstPage" w:offsetFrom="page">
            <w:top w:val="triple" w:sz="4" w:space="24" w:color="00B050" w:shadow="1"/>
            <w:left w:val="triple" w:sz="4" w:space="24" w:color="00B050" w:shadow="1"/>
            <w:bottom w:val="triple" w:sz="4" w:space="24" w:color="00B050" w:shadow="1"/>
            <w:right w:val="triple" w:sz="4" w:space="24" w:color="00B050" w:shadow="1"/>
          </w:pgBorders>
          <w:pgNumType w:start="1"/>
          <w:cols w:space="720"/>
          <w:titlePg/>
          <w:docGrid w:linePitch="299"/>
        </w:sectPr>
      </w:pPr>
      <w:r>
        <w:rPr>
          <w:b/>
        </w:rPr>
        <w:t xml:space="preserve">Email: </w:t>
      </w:r>
      <w:hyperlink r:id="rId13" w:history="1">
        <w:r>
          <w:rPr>
            <w:rStyle w:val="Hyperlink"/>
            <w:b/>
          </w:rPr>
          <w:t>davidAsimmons@outlook.com</w:t>
        </w:r>
      </w:hyperlink>
    </w:p>
    <w:tbl>
      <w:tblPr>
        <w:tblStyle w:val="TableGrid"/>
        <w:tblW w:w="0" w:type="auto"/>
        <w:tblLook w:val="04A0" w:firstRow="1" w:lastRow="0" w:firstColumn="1" w:lastColumn="0" w:noHBand="0" w:noVBand="1"/>
      </w:tblPr>
      <w:tblGrid>
        <w:gridCol w:w="3145"/>
        <w:gridCol w:w="2790"/>
        <w:gridCol w:w="1350"/>
        <w:gridCol w:w="2611"/>
      </w:tblGrid>
      <w:tr w:rsidR="00F24233" w14:paraId="3AC57C6F" w14:textId="77777777" w:rsidTr="00F632FF">
        <w:tc>
          <w:tcPr>
            <w:tcW w:w="9896" w:type="dxa"/>
            <w:gridSpan w:val="4"/>
          </w:tcPr>
          <w:p w14:paraId="4275C2F8" w14:textId="77777777" w:rsidR="00F24233" w:rsidRPr="00F24233" w:rsidRDefault="00F24233" w:rsidP="00F24233">
            <w:pPr>
              <w:pStyle w:val="Default"/>
              <w:jc w:val="center"/>
              <w:rPr>
                <w:b/>
                <w:bCs/>
                <w:sz w:val="28"/>
                <w:szCs w:val="28"/>
              </w:rPr>
            </w:pPr>
            <w:bookmarkStart w:id="0" w:name="_GoBack"/>
            <w:bookmarkEnd w:id="0"/>
            <w:r w:rsidRPr="00F24233">
              <w:rPr>
                <w:b/>
                <w:sz w:val="28"/>
                <w:szCs w:val="28"/>
              </w:rPr>
              <w:lastRenderedPageBreak/>
              <w:t>Integrated Climate Change Adaptation Strategies (ICCAS</w:t>
            </w:r>
            <w:r w:rsidR="005F54E8">
              <w:rPr>
                <w:b/>
                <w:sz w:val="28"/>
                <w:szCs w:val="28"/>
              </w:rPr>
              <w:t>)</w:t>
            </w:r>
            <w:r w:rsidR="002820AE">
              <w:rPr>
                <w:b/>
                <w:sz w:val="28"/>
                <w:szCs w:val="28"/>
              </w:rPr>
              <w:t xml:space="preserve">: </w:t>
            </w:r>
            <w:r w:rsidR="00711DEA">
              <w:rPr>
                <w:b/>
                <w:sz w:val="28"/>
                <w:szCs w:val="28"/>
              </w:rPr>
              <w:t>Thematic Report</w:t>
            </w:r>
          </w:p>
        </w:tc>
      </w:tr>
      <w:tr w:rsidR="00F24233" w14:paraId="04722537" w14:textId="77777777" w:rsidTr="00F24233">
        <w:tc>
          <w:tcPr>
            <w:tcW w:w="5935" w:type="dxa"/>
            <w:gridSpan w:val="2"/>
          </w:tcPr>
          <w:p w14:paraId="45438E15" w14:textId="77777777" w:rsidR="00F24233" w:rsidRDefault="00F24233" w:rsidP="00AF7953">
            <w:pPr>
              <w:pStyle w:val="Default"/>
              <w:ind w:left="510" w:hanging="510"/>
              <w:rPr>
                <w:b/>
                <w:bCs/>
                <w:sz w:val="23"/>
                <w:szCs w:val="23"/>
              </w:rPr>
            </w:pPr>
            <w:r>
              <w:rPr>
                <w:b/>
                <w:bCs/>
                <w:sz w:val="23"/>
                <w:szCs w:val="23"/>
              </w:rPr>
              <w:t>Title:</w:t>
            </w:r>
            <w:r w:rsidR="00194546">
              <w:rPr>
                <w:b/>
                <w:bCs/>
                <w:sz w:val="23"/>
                <w:szCs w:val="23"/>
              </w:rPr>
              <w:t xml:space="preserve"> </w:t>
            </w:r>
            <w:r w:rsidR="00AF7953">
              <w:rPr>
                <w:b/>
                <w:bCs/>
                <w:sz w:val="23"/>
                <w:szCs w:val="23"/>
              </w:rPr>
              <w:t xml:space="preserve">Implementing a </w:t>
            </w:r>
            <w:r w:rsidR="005C2355">
              <w:rPr>
                <w:b/>
                <w:bCs/>
                <w:sz w:val="23"/>
                <w:szCs w:val="23"/>
              </w:rPr>
              <w:t>Community Climate Change Adaptation Fund</w:t>
            </w:r>
          </w:p>
        </w:tc>
        <w:tc>
          <w:tcPr>
            <w:tcW w:w="3961" w:type="dxa"/>
            <w:gridSpan w:val="2"/>
          </w:tcPr>
          <w:p w14:paraId="4BAE9AB6" w14:textId="77777777" w:rsidR="00F24233" w:rsidRDefault="00194546" w:rsidP="00F24233">
            <w:pPr>
              <w:pStyle w:val="Default"/>
              <w:rPr>
                <w:b/>
                <w:bCs/>
                <w:sz w:val="23"/>
                <w:szCs w:val="23"/>
              </w:rPr>
            </w:pPr>
            <w:r>
              <w:rPr>
                <w:b/>
                <w:bCs/>
                <w:sz w:val="23"/>
                <w:szCs w:val="23"/>
              </w:rPr>
              <w:t>Period</w:t>
            </w:r>
            <w:r w:rsidR="00F24233">
              <w:rPr>
                <w:b/>
                <w:bCs/>
                <w:sz w:val="23"/>
                <w:szCs w:val="23"/>
              </w:rPr>
              <w:t>:</w:t>
            </w:r>
            <w:r>
              <w:rPr>
                <w:b/>
                <w:bCs/>
                <w:sz w:val="23"/>
                <w:szCs w:val="23"/>
              </w:rPr>
              <w:t xml:space="preserve"> </w:t>
            </w:r>
            <w:r w:rsidR="00171C71">
              <w:rPr>
                <w:bCs/>
                <w:sz w:val="23"/>
                <w:szCs w:val="23"/>
              </w:rPr>
              <w:t xml:space="preserve">Mid </w:t>
            </w:r>
            <w:r w:rsidRPr="00194546">
              <w:rPr>
                <w:bCs/>
                <w:sz w:val="23"/>
                <w:szCs w:val="23"/>
              </w:rPr>
              <w:t xml:space="preserve">2016 – </w:t>
            </w:r>
            <w:r w:rsidR="005C2355">
              <w:rPr>
                <w:bCs/>
                <w:sz w:val="23"/>
                <w:szCs w:val="23"/>
              </w:rPr>
              <w:t>Current</w:t>
            </w:r>
          </w:p>
        </w:tc>
      </w:tr>
      <w:tr w:rsidR="00F24233" w14:paraId="6E21D523" w14:textId="77777777" w:rsidTr="00F632FF">
        <w:tc>
          <w:tcPr>
            <w:tcW w:w="9896" w:type="dxa"/>
            <w:gridSpan w:val="4"/>
          </w:tcPr>
          <w:p w14:paraId="2A0A7471" w14:textId="77777777" w:rsidR="00F24233" w:rsidRDefault="00F24233" w:rsidP="00F24233">
            <w:pPr>
              <w:pStyle w:val="Default"/>
              <w:jc w:val="center"/>
              <w:rPr>
                <w:b/>
                <w:bCs/>
                <w:sz w:val="23"/>
                <w:szCs w:val="23"/>
              </w:rPr>
            </w:pPr>
            <w:r>
              <w:rPr>
                <w:b/>
                <w:bCs/>
                <w:sz w:val="23"/>
                <w:szCs w:val="23"/>
              </w:rPr>
              <w:t>IMPLEMENTING AGENCIES</w:t>
            </w:r>
          </w:p>
        </w:tc>
      </w:tr>
      <w:tr w:rsidR="00F24233" w14:paraId="57F22AC2" w14:textId="77777777" w:rsidTr="00377C50">
        <w:tc>
          <w:tcPr>
            <w:tcW w:w="3145" w:type="dxa"/>
          </w:tcPr>
          <w:p w14:paraId="22FA8180" w14:textId="77777777" w:rsidR="00F24233" w:rsidRDefault="00F24233" w:rsidP="00F24233">
            <w:pPr>
              <w:pStyle w:val="Default"/>
              <w:rPr>
                <w:b/>
                <w:bCs/>
                <w:sz w:val="23"/>
                <w:szCs w:val="23"/>
              </w:rPr>
            </w:pPr>
            <w:r>
              <w:t>United National Development Programme (UNDP)</w:t>
            </w:r>
          </w:p>
        </w:tc>
        <w:tc>
          <w:tcPr>
            <w:tcW w:w="4140" w:type="dxa"/>
            <w:gridSpan w:val="2"/>
          </w:tcPr>
          <w:p w14:paraId="7F46C09F" w14:textId="77777777" w:rsidR="00F24233" w:rsidRDefault="00596B32" w:rsidP="00F24233">
            <w:pPr>
              <w:ind w:right="75"/>
              <w:rPr>
                <w:b/>
                <w:bCs/>
                <w:sz w:val="23"/>
                <w:szCs w:val="23"/>
              </w:rPr>
            </w:pPr>
            <w:r>
              <w:rPr>
                <w:b/>
                <w:bCs/>
                <w:sz w:val="23"/>
                <w:szCs w:val="23"/>
              </w:rPr>
              <w:t xml:space="preserve">Environment Unit, </w:t>
            </w:r>
            <w:r w:rsidR="00F3302A">
              <w:rPr>
                <w:b/>
                <w:bCs/>
                <w:sz w:val="23"/>
                <w:szCs w:val="23"/>
              </w:rPr>
              <w:t xml:space="preserve">Ministry of </w:t>
            </w:r>
            <w:r w:rsidR="001A44A1">
              <w:rPr>
                <w:b/>
                <w:bCs/>
                <w:sz w:val="23"/>
                <w:szCs w:val="23"/>
              </w:rPr>
              <w:t xml:space="preserve">Agriculture, Lands and Environment </w:t>
            </w:r>
          </w:p>
        </w:tc>
        <w:tc>
          <w:tcPr>
            <w:tcW w:w="2611" w:type="dxa"/>
          </w:tcPr>
          <w:p w14:paraId="58588BA5" w14:textId="77777777" w:rsidR="00F24233" w:rsidRDefault="00F24233" w:rsidP="00F24233">
            <w:pPr>
              <w:ind w:right="76"/>
              <w:rPr>
                <w:b/>
                <w:bCs/>
                <w:sz w:val="23"/>
                <w:szCs w:val="23"/>
              </w:rPr>
            </w:pPr>
            <w:r>
              <w:t>German Development Cooperation (GIZ)</w:t>
            </w:r>
            <w:r w:rsidR="00F3302A">
              <w:t>, BMUB</w:t>
            </w:r>
          </w:p>
        </w:tc>
      </w:tr>
    </w:tbl>
    <w:p w14:paraId="005F2AF3" w14:textId="77777777" w:rsidR="00F24233" w:rsidRPr="00F632FF" w:rsidRDefault="00F24233" w:rsidP="00F24233">
      <w:pPr>
        <w:pStyle w:val="Default"/>
        <w:rPr>
          <w:bCs/>
        </w:rPr>
      </w:pPr>
    </w:p>
    <w:p w14:paraId="5DFF50EA" w14:textId="77777777" w:rsidR="00F24233" w:rsidRPr="00F632FF" w:rsidRDefault="00F24233" w:rsidP="00F24233">
      <w:pPr>
        <w:pStyle w:val="Default"/>
        <w:rPr>
          <w:b/>
          <w:bCs/>
        </w:rPr>
      </w:pPr>
      <w:r w:rsidRPr="001A44A1">
        <w:rPr>
          <w:b/>
          <w:bCs/>
        </w:rPr>
        <w:t>Background</w:t>
      </w:r>
      <w:r w:rsidRPr="00F632FF">
        <w:rPr>
          <w:b/>
          <w:bCs/>
        </w:rPr>
        <w:t>:</w:t>
      </w:r>
    </w:p>
    <w:p w14:paraId="26D01A65" w14:textId="77777777" w:rsidR="00AF7953" w:rsidRDefault="00377C50" w:rsidP="00AF7953">
      <w:pPr>
        <w:pStyle w:val="Default"/>
        <w:jc w:val="both"/>
        <w:rPr>
          <w:sz w:val="22"/>
          <w:szCs w:val="22"/>
        </w:rPr>
      </w:pPr>
      <w:r w:rsidRPr="00F632FF">
        <w:rPr>
          <w:bCs/>
        </w:rPr>
        <w:t xml:space="preserve">The Integrated Climate Change Adaptation Strategies (ICCAS) project was designed to provide a holistic approach to climate change adaptation and mainstreaming in Grenada. The overall aim of the ICCAS project was to increase resilience of vulnerable communities and ecosystems to climate change risks on the three islands: Grenada, Carriacou and Petite Martinique. </w:t>
      </w:r>
      <w:r w:rsidR="00AF7953" w:rsidRPr="00522C59">
        <w:rPr>
          <w:sz w:val="22"/>
          <w:szCs w:val="22"/>
        </w:rPr>
        <w:t>The project, which has four Components, use</w:t>
      </w:r>
      <w:r w:rsidR="00AF7953">
        <w:rPr>
          <w:sz w:val="22"/>
          <w:szCs w:val="22"/>
        </w:rPr>
        <w:t>d</w:t>
      </w:r>
      <w:r w:rsidR="00AF7953" w:rsidRPr="00522C59">
        <w:rPr>
          <w:sz w:val="22"/>
          <w:szCs w:val="22"/>
        </w:rPr>
        <w:t xml:space="preserve"> a comprehensive, integrated approach for analysing and implementing adaptation strategies. It also used a unique approach of establishing the institutional and operational framework for building adaptation and resiliency with direct support for the implementation of small-scale adaptation initiatives through a </w:t>
      </w:r>
      <w:r w:rsidR="001D2A23" w:rsidRPr="00522C59">
        <w:rPr>
          <w:sz w:val="22"/>
          <w:szCs w:val="22"/>
        </w:rPr>
        <w:t>community-based</w:t>
      </w:r>
      <w:r w:rsidR="00AF7953" w:rsidRPr="00522C59">
        <w:rPr>
          <w:sz w:val="22"/>
          <w:szCs w:val="22"/>
        </w:rPr>
        <w:t xml:space="preserve"> climate change adaptation fund</w:t>
      </w:r>
      <w:r w:rsidR="00AF7953">
        <w:rPr>
          <w:sz w:val="22"/>
          <w:szCs w:val="22"/>
        </w:rPr>
        <w:t>.  This fund</w:t>
      </w:r>
      <w:r w:rsidR="00AF7953" w:rsidRPr="00522C59">
        <w:rPr>
          <w:sz w:val="22"/>
          <w:szCs w:val="22"/>
        </w:rPr>
        <w:t xml:space="preserve"> contributed immensely in informing ordinary citizens about the impacts of climate change and demonstrat</w:t>
      </w:r>
      <w:r w:rsidR="00AF7953">
        <w:rPr>
          <w:sz w:val="22"/>
          <w:szCs w:val="22"/>
        </w:rPr>
        <w:t>ed,</w:t>
      </w:r>
      <w:r w:rsidR="00AF7953" w:rsidRPr="00522C59">
        <w:rPr>
          <w:sz w:val="22"/>
          <w:szCs w:val="22"/>
        </w:rPr>
        <w:t xml:space="preserve"> through actual interventions, how they can initiate various activities, in their homes, schools and communities to build resiliency.</w:t>
      </w:r>
    </w:p>
    <w:p w14:paraId="18916072" w14:textId="77777777" w:rsidR="00AF7953" w:rsidRDefault="00AF7953" w:rsidP="00AF7953">
      <w:pPr>
        <w:pStyle w:val="Default"/>
        <w:jc w:val="both"/>
        <w:rPr>
          <w:bCs/>
        </w:rPr>
      </w:pPr>
    </w:p>
    <w:p w14:paraId="1C2DC165" w14:textId="77777777" w:rsidR="009F0568" w:rsidRDefault="00AF7953" w:rsidP="00AF7953">
      <w:pPr>
        <w:pStyle w:val="Default"/>
        <w:spacing w:after="120"/>
        <w:rPr>
          <w:bCs/>
        </w:rPr>
      </w:pPr>
      <w:r w:rsidRPr="00377C50">
        <w:rPr>
          <w:bCs/>
        </w:rPr>
        <w:t xml:space="preserve">The complete ICCAS Programme </w:t>
      </w:r>
      <w:r>
        <w:rPr>
          <w:bCs/>
        </w:rPr>
        <w:t>was</w:t>
      </w:r>
      <w:r w:rsidRPr="00377C50">
        <w:rPr>
          <w:bCs/>
        </w:rPr>
        <w:t xml:space="preserve"> comprised of four (4) components</w:t>
      </w:r>
      <w:r>
        <w:rPr>
          <w:bCs/>
        </w:rPr>
        <w:t xml:space="preserve"> out of which a number of projects were conceived and executed as part of the Community Climate Change Adaptation Programme.  These projects can be grouped along the following themes:</w:t>
      </w:r>
    </w:p>
    <w:p w14:paraId="2260FA36" w14:textId="77777777" w:rsidR="00377C50" w:rsidRPr="00AF7953" w:rsidRDefault="00377C50" w:rsidP="00AF7953">
      <w:pPr>
        <w:pStyle w:val="ListParagraph"/>
        <w:numPr>
          <w:ilvl w:val="0"/>
          <w:numId w:val="17"/>
        </w:numPr>
        <w:pBdr>
          <w:top w:val="nil"/>
          <w:left w:val="nil"/>
          <w:bottom w:val="nil"/>
          <w:right w:val="nil"/>
          <w:between w:val="nil"/>
        </w:pBdr>
        <w:spacing w:after="0" w:line="240" w:lineRule="auto"/>
        <w:jc w:val="both"/>
        <w:rPr>
          <w:sz w:val="24"/>
          <w:szCs w:val="24"/>
        </w:rPr>
      </w:pPr>
      <w:r w:rsidRPr="00AF7953">
        <w:rPr>
          <w:sz w:val="24"/>
          <w:szCs w:val="24"/>
        </w:rPr>
        <w:t xml:space="preserve">Agriculture and water </w:t>
      </w:r>
    </w:p>
    <w:p w14:paraId="7D6BBE22" w14:textId="77777777" w:rsidR="00377C50" w:rsidRPr="00AF7953" w:rsidRDefault="00377C50" w:rsidP="00AF7953">
      <w:pPr>
        <w:pStyle w:val="ListParagraph"/>
        <w:numPr>
          <w:ilvl w:val="0"/>
          <w:numId w:val="17"/>
        </w:numPr>
        <w:pBdr>
          <w:top w:val="nil"/>
          <w:left w:val="nil"/>
          <w:bottom w:val="nil"/>
          <w:right w:val="nil"/>
          <w:between w:val="nil"/>
        </w:pBdr>
        <w:spacing w:after="0" w:line="240" w:lineRule="auto"/>
        <w:jc w:val="both"/>
        <w:rPr>
          <w:sz w:val="24"/>
          <w:szCs w:val="24"/>
        </w:rPr>
      </w:pPr>
      <w:r w:rsidRPr="00AF7953">
        <w:rPr>
          <w:sz w:val="24"/>
          <w:szCs w:val="24"/>
        </w:rPr>
        <w:t xml:space="preserve">Marine and coastal areas </w:t>
      </w:r>
    </w:p>
    <w:p w14:paraId="296A1A5C" w14:textId="77777777" w:rsidR="00377C50" w:rsidRPr="00AF7953" w:rsidRDefault="00377C50" w:rsidP="00AF7953">
      <w:pPr>
        <w:pStyle w:val="ListParagraph"/>
        <w:numPr>
          <w:ilvl w:val="0"/>
          <w:numId w:val="17"/>
        </w:numPr>
        <w:pBdr>
          <w:top w:val="nil"/>
          <w:left w:val="nil"/>
          <w:bottom w:val="nil"/>
          <w:right w:val="nil"/>
          <w:between w:val="nil"/>
        </w:pBdr>
        <w:spacing w:after="0" w:line="240" w:lineRule="auto"/>
        <w:jc w:val="both"/>
        <w:rPr>
          <w:sz w:val="24"/>
          <w:szCs w:val="24"/>
        </w:rPr>
      </w:pPr>
      <w:r w:rsidRPr="00AF7953">
        <w:rPr>
          <w:sz w:val="24"/>
          <w:szCs w:val="24"/>
        </w:rPr>
        <w:t xml:space="preserve">Education and awareness </w:t>
      </w:r>
    </w:p>
    <w:p w14:paraId="66820693" w14:textId="77777777" w:rsidR="00377C50" w:rsidRPr="00AF7953" w:rsidRDefault="00377C50" w:rsidP="00AF7953">
      <w:pPr>
        <w:pStyle w:val="ListParagraph"/>
        <w:numPr>
          <w:ilvl w:val="0"/>
          <w:numId w:val="17"/>
        </w:numPr>
        <w:pBdr>
          <w:top w:val="nil"/>
          <w:left w:val="nil"/>
          <w:bottom w:val="nil"/>
          <w:right w:val="nil"/>
          <w:between w:val="nil"/>
        </w:pBdr>
        <w:spacing w:after="0" w:line="240" w:lineRule="auto"/>
        <w:jc w:val="both"/>
        <w:rPr>
          <w:sz w:val="24"/>
          <w:szCs w:val="24"/>
        </w:rPr>
      </w:pPr>
      <w:r w:rsidRPr="00AF7953">
        <w:rPr>
          <w:sz w:val="24"/>
          <w:szCs w:val="24"/>
        </w:rPr>
        <w:t xml:space="preserve">Flood mitigation </w:t>
      </w:r>
    </w:p>
    <w:p w14:paraId="2543165D" w14:textId="77777777" w:rsidR="00377C50" w:rsidRPr="00AF7953" w:rsidRDefault="00377C50" w:rsidP="00AF7953">
      <w:pPr>
        <w:pStyle w:val="ListParagraph"/>
        <w:numPr>
          <w:ilvl w:val="0"/>
          <w:numId w:val="17"/>
        </w:numPr>
        <w:pBdr>
          <w:top w:val="nil"/>
          <w:left w:val="nil"/>
          <w:bottom w:val="nil"/>
          <w:right w:val="nil"/>
          <w:between w:val="nil"/>
        </w:pBdr>
        <w:spacing w:after="0" w:line="240" w:lineRule="auto"/>
        <w:jc w:val="both"/>
        <w:rPr>
          <w:sz w:val="24"/>
          <w:szCs w:val="24"/>
        </w:rPr>
      </w:pPr>
      <w:r w:rsidRPr="00AF7953">
        <w:rPr>
          <w:sz w:val="24"/>
          <w:szCs w:val="24"/>
        </w:rPr>
        <w:t>Recycling</w:t>
      </w:r>
    </w:p>
    <w:p w14:paraId="19BDA2E9" w14:textId="77777777" w:rsidR="00377C50" w:rsidRPr="00AF7953" w:rsidRDefault="00377C50" w:rsidP="00AF7953">
      <w:pPr>
        <w:pStyle w:val="ListParagraph"/>
        <w:numPr>
          <w:ilvl w:val="0"/>
          <w:numId w:val="17"/>
        </w:numPr>
        <w:pBdr>
          <w:top w:val="nil"/>
          <w:left w:val="nil"/>
          <w:bottom w:val="nil"/>
          <w:right w:val="nil"/>
          <w:between w:val="nil"/>
        </w:pBdr>
        <w:jc w:val="both"/>
        <w:rPr>
          <w:sz w:val="24"/>
          <w:szCs w:val="24"/>
        </w:rPr>
      </w:pPr>
      <w:r w:rsidRPr="00AF7953">
        <w:rPr>
          <w:sz w:val="24"/>
          <w:szCs w:val="24"/>
        </w:rPr>
        <w:t xml:space="preserve">Land degradation </w:t>
      </w:r>
    </w:p>
    <w:p w14:paraId="1B1F962B" w14:textId="77777777" w:rsidR="0058592E" w:rsidRPr="00171C71" w:rsidRDefault="0058592E" w:rsidP="00F24233">
      <w:pPr>
        <w:pStyle w:val="Default"/>
        <w:rPr>
          <w:bCs/>
        </w:rPr>
      </w:pPr>
    </w:p>
    <w:p w14:paraId="25D0BB13" w14:textId="77777777" w:rsidR="002820AE" w:rsidRPr="00E02A63" w:rsidRDefault="00596B32" w:rsidP="00AF7953">
      <w:pPr>
        <w:pStyle w:val="Default"/>
        <w:spacing w:after="120"/>
        <w:rPr>
          <w:b/>
          <w:bCs/>
        </w:rPr>
      </w:pPr>
      <w:r>
        <w:rPr>
          <w:b/>
          <w:bCs/>
        </w:rPr>
        <w:t xml:space="preserve">The </w:t>
      </w:r>
      <w:r w:rsidR="001A44A1">
        <w:rPr>
          <w:b/>
          <w:bCs/>
        </w:rPr>
        <w:t xml:space="preserve">Purpose of </w:t>
      </w:r>
      <w:r>
        <w:rPr>
          <w:b/>
          <w:bCs/>
        </w:rPr>
        <w:t>CCCAF</w:t>
      </w:r>
    </w:p>
    <w:p w14:paraId="53A59E5E" w14:textId="77777777" w:rsidR="00596B32" w:rsidRDefault="009F0568" w:rsidP="00AF7953">
      <w:pPr>
        <w:pStyle w:val="Default"/>
        <w:jc w:val="both"/>
        <w:rPr>
          <w:bCs/>
        </w:rPr>
      </w:pPr>
      <w:r>
        <w:rPr>
          <w:bCs/>
        </w:rPr>
        <w:t xml:space="preserve">The CCCAF addressed component 3 of the ICCAS program which mandated the increase of the adaptive capacity of communities through a community fund.   The </w:t>
      </w:r>
      <w:r w:rsidR="00596B32" w:rsidRPr="00596B32">
        <w:rPr>
          <w:bCs/>
        </w:rPr>
        <w:t xml:space="preserve">CCCAF </w:t>
      </w:r>
      <w:r>
        <w:rPr>
          <w:bCs/>
        </w:rPr>
        <w:t>made USD1.</w:t>
      </w:r>
      <w:r w:rsidR="001A44A1">
        <w:rPr>
          <w:bCs/>
        </w:rPr>
        <w:t>3 million</w:t>
      </w:r>
      <w:r>
        <w:rPr>
          <w:bCs/>
        </w:rPr>
        <w:t xml:space="preserve"> available for small community projects aimed at </w:t>
      </w:r>
      <w:r w:rsidR="001A44A1" w:rsidRPr="00596B32">
        <w:rPr>
          <w:bCs/>
        </w:rPr>
        <w:t>increas</w:t>
      </w:r>
      <w:r w:rsidR="001A44A1">
        <w:rPr>
          <w:bCs/>
        </w:rPr>
        <w:t>ing</w:t>
      </w:r>
      <w:r w:rsidRPr="00596B32">
        <w:rPr>
          <w:bCs/>
        </w:rPr>
        <w:t xml:space="preserve"> the resilience of vulnerable communities and ecosystems to climate change risks</w:t>
      </w:r>
      <w:r w:rsidRPr="009F0568">
        <w:rPr>
          <w:bCs/>
        </w:rPr>
        <w:t xml:space="preserve"> </w:t>
      </w:r>
      <w:r>
        <w:rPr>
          <w:bCs/>
        </w:rPr>
        <w:t xml:space="preserve">through the </w:t>
      </w:r>
      <w:r w:rsidRPr="00596B32">
        <w:rPr>
          <w:bCs/>
        </w:rPr>
        <w:t xml:space="preserve">implementation of concrete </w:t>
      </w:r>
      <w:r w:rsidR="001D2A23" w:rsidRPr="00596B32">
        <w:rPr>
          <w:bCs/>
        </w:rPr>
        <w:t>community-based</w:t>
      </w:r>
      <w:r w:rsidRPr="00596B32">
        <w:rPr>
          <w:bCs/>
        </w:rPr>
        <w:t xml:space="preserve"> adaptation activities in Grenada, Carriacou and Petite Martinique</w:t>
      </w:r>
      <w:r>
        <w:rPr>
          <w:bCs/>
        </w:rPr>
        <w:t xml:space="preserve">.  The CCCAF provided </w:t>
      </w:r>
      <w:r w:rsidR="00596B32" w:rsidRPr="00596B32">
        <w:rPr>
          <w:bCs/>
        </w:rPr>
        <w:t>grant</w:t>
      </w:r>
      <w:r>
        <w:rPr>
          <w:bCs/>
        </w:rPr>
        <w:t>s of</w:t>
      </w:r>
      <w:r w:rsidR="00596B32" w:rsidRPr="00596B32">
        <w:rPr>
          <w:bCs/>
        </w:rPr>
        <w:t xml:space="preserve"> up to US $50,000 to community-based projects of a climate adaptation nature that includes activities related to agriculture, fishing, tourism, health, water, education and awareness, marine and coastal areas, livelihoods and </w:t>
      </w:r>
      <w:r w:rsidR="001A44A1" w:rsidRPr="00596B32">
        <w:rPr>
          <w:bCs/>
        </w:rPr>
        <w:t>others</w:t>
      </w:r>
      <w:r w:rsidR="001A44A1">
        <w:rPr>
          <w:bCs/>
        </w:rPr>
        <w:t>.  Out</w:t>
      </w:r>
      <w:r>
        <w:rPr>
          <w:bCs/>
        </w:rPr>
        <w:t xml:space="preserve"> of </w:t>
      </w:r>
      <w:r w:rsidR="00596B32" w:rsidRPr="00596B32">
        <w:rPr>
          <w:bCs/>
        </w:rPr>
        <w:t xml:space="preserve">162 </w:t>
      </w:r>
      <w:r>
        <w:rPr>
          <w:bCs/>
        </w:rPr>
        <w:t>project concepts submitted by</w:t>
      </w:r>
      <w:r w:rsidR="00596B32" w:rsidRPr="00596B32">
        <w:rPr>
          <w:bCs/>
        </w:rPr>
        <w:t xml:space="preserve"> community groups and innovators </w:t>
      </w:r>
      <w:r w:rsidR="001A44A1">
        <w:rPr>
          <w:bCs/>
        </w:rPr>
        <w:t>the CCCAF gave grants to 27 projects more than 90% of which have been completed with some success.</w:t>
      </w:r>
    </w:p>
    <w:p w14:paraId="13B96D85" w14:textId="77777777" w:rsidR="00E04E0D" w:rsidRDefault="00E04E0D" w:rsidP="00AF7953">
      <w:pPr>
        <w:pStyle w:val="Default"/>
        <w:jc w:val="both"/>
        <w:rPr>
          <w:bCs/>
        </w:rPr>
      </w:pPr>
    </w:p>
    <w:p w14:paraId="4BAB33F9" w14:textId="1CF333B8" w:rsidR="00596B32" w:rsidRPr="00F24233" w:rsidRDefault="00E04E0D" w:rsidP="00AF7953">
      <w:pPr>
        <w:pStyle w:val="Default"/>
        <w:jc w:val="both"/>
      </w:pPr>
      <w:r>
        <w:t xml:space="preserve">Establishment of the Operational Guidelines for CCCAF: The Operational Guidelines for the fund were developed drawing on local, regional and international experiences. In particular, research and collaboration </w:t>
      </w:r>
      <w:r w:rsidR="001D2A23">
        <w:t>were</w:t>
      </w:r>
      <w:r>
        <w:t xml:space="preserve"> done with the Global Environment Facility Small Grants Programme (GEF SGP) and the Indonesian Climate Change Adaptation Trust Fund. </w:t>
      </w:r>
    </w:p>
    <w:p w14:paraId="01F5BB31" w14:textId="77777777" w:rsidR="00F24233" w:rsidRDefault="00994A9E" w:rsidP="00AF7953">
      <w:pPr>
        <w:pStyle w:val="Default"/>
        <w:jc w:val="both"/>
        <w:rPr>
          <w:b/>
          <w:bCs/>
        </w:rPr>
      </w:pPr>
      <w:r>
        <w:rPr>
          <w:b/>
          <w:bCs/>
        </w:rPr>
        <w:lastRenderedPageBreak/>
        <w:t>Programme Impact</w:t>
      </w:r>
    </w:p>
    <w:p w14:paraId="4B1AF136" w14:textId="77777777" w:rsidR="00596B32" w:rsidRDefault="00596B32" w:rsidP="00AF7953">
      <w:pPr>
        <w:pStyle w:val="Default"/>
        <w:jc w:val="both"/>
        <w:rPr>
          <w:bCs/>
        </w:rPr>
      </w:pPr>
      <w:r w:rsidRPr="00596B32">
        <w:rPr>
          <w:bCs/>
        </w:rPr>
        <w:t>There is little doubt that the readily available CCCAF was an effective instrument in providing communities with opportunities to implement projects which</w:t>
      </w:r>
      <w:r w:rsidR="001A44A1">
        <w:rPr>
          <w:bCs/>
        </w:rPr>
        <w:t xml:space="preserve"> mitigated against the risks of climate change, improved the quality of life in small communities, and were</w:t>
      </w:r>
      <w:r w:rsidRPr="00596B32">
        <w:rPr>
          <w:bCs/>
        </w:rPr>
        <w:t xml:space="preserve"> vehicles for conveying messages about climate change adaptation, and resilience building both among young persons and adults</w:t>
      </w:r>
      <w:r w:rsidR="001A44A1">
        <w:rPr>
          <w:bCs/>
        </w:rPr>
        <w:t>.</w:t>
      </w:r>
    </w:p>
    <w:p w14:paraId="63A4771D" w14:textId="77777777" w:rsidR="00AF7953" w:rsidRPr="00AF7953" w:rsidRDefault="00AF7953" w:rsidP="00AF7953">
      <w:pPr>
        <w:pStyle w:val="Default"/>
        <w:jc w:val="both"/>
        <w:rPr>
          <w:bCs/>
        </w:rPr>
      </w:pPr>
      <w:r w:rsidRPr="00AF7953">
        <w:rPr>
          <w:bCs/>
        </w:rPr>
        <w:t xml:space="preserve">The successful implementation of community projects created a sense of satisfaction and left many stakeholders with greater confidence in their abilities to manage the implementation of similar projects and even feeling empowered to take on larger projects.  Some, like the Carriacou fishers, are of the view that that opportunities should be explored for </w:t>
      </w:r>
      <w:r>
        <w:rPr>
          <w:bCs/>
        </w:rPr>
        <w:t xml:space="preserve">pooling resources and </w:t>
      </w:r>
      <w:r w:rsidRPr="00AF7953">
        <w:rPr>
          <w:bCs/>
        </w:rPr>
        <w:t>scaling-up their level of organisational cooperation to enable them to provide a larger and more varied set of services to their members.  That could include the establishing co-operatives to enhance the financial capacities both individually and collectively.</w:t>
      </w:r>
    </w:p>
    <w:p w14:paraId="377A83DA" w14:textId="77777777" w:rsidR="00AF7953" w:rsidRPr="00AF7953" w:rsidRDefault="00AF7953" w:rsidP="00AF7953">
      <w:pPr>
        <w:pStyle w:val="Default"/>
        <w:jc w:val="both"/>
        <w:rPr>
          <w:bCs/>
        </w:rPr>
      </w:pPr>
    </w:p>
    <w:p w14:paraId="722126BF" w14:textId="77777777" w:rsidR="00AF7953" w:rsidRDefault="00AF7953" w:rsidP="00AF7953">
      <w:pPr>
        <w:pStyle w:val="Default"/>
        <w:jc w:val="both"/>
        <w:rPr>
          <w:bCs/>
        </w:rPr>
      </w:pPr>
      <w:r w:rsidRPr="00AF7953">
        <w:rPr>
          <w:bCs/>
        </w:rPr>
        <w:t>A notable feature of the ICCAS community funded projects was the central role played by women.  Women’s groups were at the helm of a few projects while several women served in a leadership role of several of the entities funded under the project.  Notwithstanding their pivotal role, the women themselves praised the efforts of the men in providing timely and appropriate assistance</w:t>
      </w:r>
    </w:p>
    <w:p w14:paraId="7CD86472" w14:textId="77777777" w:rsidR="00814DC6" w:rsidRDefault="00814DC6" w:rsidP="00AF7953">
      <w:pPr>
        <w:pStyle w:val="Default"/>
        <w:jc w:val="both"/>
      </w:pPr>
    </w:p>
    <w:p w14:paraId="14925B62" w14:textId="77777777" w:rsidR="00814DC6" w:rsidRDefault="00814DC6" w:rsidP="00AF7953">
      <w:pPr>
        <w:pStyle w:val="Default"/>
        <w:jc w:val="both"/>
      </w:pPr>
      <w:r>
        <w:t xml:space="preserve">Additionally, in terms of the </w:t>
      </w:r>
      <w:r w:rsidR="00AF7953">
        <w:t>longer-term</w:t>
      </w:r>
      <w:r>
        <w:t xml:space="preserve"> development objectives of the country, the fact that this project has been successful has enhanced Grenada’s profile in the global development funding arena and has made it a more attractive target for funding particularly for projects related to climate change adaptation and climate change resilience. This is key in light of Grenada’s particular vulnerability to climate change impacts and is a necessary component for the implementation of its National Adaptation Plan.  </w:t>
      </w:r>
    </w:p>
    <w:p w14:paraId="4DC87CB7" w14:textId="77777777" w:rsidR="00596B32" w:rsidRPr="003838C7" w:rsidRDefault="00596B32" w:rsidP="00AF7953">
      <w:pPr>
        <w:pStyle w:val="Default"/>
        <w:jc w:val="both"/>
      </w:pPr>
    </w:p>
    <w:p w14:paraId="1F656893" w14:textId="77777777" w:rsidR="003A7A71" w:rsidRDefault="003D3F9A" w:rsidP="00AF7953">
      <w:pPr>
        <w:pStyle w:val="Default"/>
        <w:jc w:val="both"/>
        <w:rPr>
          <w:b/>
          <w:bCs/>
        </w:rPr>
      </w:pPr>
      <w:r>
        <w:rPr>
          <w:b/>
          <w:bCs/>
        </w:rPr>
        <w:t xml:space="preserve">Positive Lessons that can be Extracted from </w:t>
      </w:r>
      <w:r w:rsidR="00FA314D">
        <w:rPr>
          <w:b/>
          <w:bCs/>
        </w:rPr>
        <w:t xml:space="preserve">this </w:t>
      </w:r>
      <w:r w:rsidR="00596B32">
        <w:rPr>
          <w:b/>
          <w:bCs/>
        </w:rPr>
        <w:t xml:space="preserve">Community Based Funding </w:t>
      </w:r>
      <w:r w:rsidR="00FA314D">
        <w:rPr>
          <w:b/>
          <w:bCs/>
        </w:rPr>
        <w:t>Approach</w:t>
      </w:r>
    </w:p>
    <w:p w14:paraId="10699F0E" w14:textId="77777777" w:rsidR="00315290" w:rsidRPr="00925F5E" w:rsidRDefault="005C2355" w:rsidP="00AF7953">
      <w:pPr>
        <w:pStyle w:val="Default"/>
        <w:numPr>
          <w:ilvl w:val="0"/>
          <w:numId w:val="15"/>
        </w:numPr>
        <w:spacing w:after="120"/>
        <w:jc w:val="both"/>
        <w:rPr>
          <w:bCs/>
        </w:rPr>
      </w:pPr>
      <w:r>
        <w:rPr>
          <w:bCs/>
        </w:rPr>
        <w:t>The large number of proposals submitted makes i</w:t>
      </w:r>
      <w:r w:rsidR="00315290">
        <w:rPr>
          <w:bCs/>
        </w:rPr>
        <w:t>t clear th</w:t>
      </w:r>
      <w:r>
        <w:rPr>
          <w:bCs/>
        </w:rPr>
        <w:t xml:space="preserve">at there </w:t>
      </w:r>
      <w:r w:rsidR="00C55DDB">
        <w:rPr>
          <w:bCs/>
        </w:rPr>
        <w:t>was a high level of</w:t>
      </w:r>
      <w:r>
        <w:rPr>
          <w:bCs/>
        </w:rPr>
        <w:t xml:space="preserve"> need in the communities and the communities were motivated to participate.</w:t>
      </w:r>
    </w:p>
    <w:p w14:paraId="3F0792C9" w14:textId="77777777" w:rsidR="00315290" w:rsidRDefault="00315290" w:rsidP="00AF7953">
      <w:pPr>
        <w:pStyle w:val="Default"/>
        <w:numPr>
          <w:ilvl w:val="0"/>
          <w:numId w:val="15"/>
        </w:numPr>
        <w:spacing w:after="120"/>
        <w:jc w:val="both"/>
      </w:pPr>
      <w:r>
        <w:t>The implementation of these small projects in communities have a direct impact on the life of those in the community.</w:t>
      </w:r>
    </w:p>
    <w:p w14:paraId="2096F36D" w14:textId="77777777" w:rsidR="00315290" w:rsidRDefault="00315290" w:rsidP="00AF7953">
      <w:pPr>
        <w:pStyle w:val="Default"/>
        <w:numPr>
          <w:ilvl w:val="0"/>
          <w:numId w:val="15"/>
        </w:numPr>
        <w:spacing w:after="120"/>
        <w:jc w:val="both"/>
      </w:pPr>
      <w:r>
        <w:t>Because the projects are small most of the funds go directly into project implementation and therefore benefit the community members</w:t>
      </w:r>
    </w:p>
    <w:p w14:paraId="5A055E3C" w14:textId="77777777" w:rsidR="00315290" w:rsidRDefault="00315290" w:rsidP="00AF7953">
      <w:pPr>
        <w:pStyle w:val="Default"/>
        <w:numPr>
          <w:ilvl w:val="0"/>
          <w:numId w:val="15"/>
        </w:numPr>
        <w:spacing w:after="120"/>
        <w:jc w:val="both"/>
      </w:pPr>
      <w:r>
        <w:t>The capacity of community members is enhanced as they are directly involved in project concept development and in implementation</w:t>
      </w:r>
      <w:r w:rsidR="005C2355" w:rsidRPr="005C2355">
        <w:rPr>
          <w:bCs/>
        </w:rPr>
        <w:t xml:space="preserve"> </w:t>
      </w:r>
    </w:p>
    <w:p w14:paraId="1AFD0222" w14:textId="77777777" w:rsidR="00315290" w:rsidRDefault="00315290" w:rsidP="00AF7953">
      <w:pPr>
        <w:pStyle w:val="Default"/>
        <w:numPr>
          <w:ilvl w:val="0"/>
          <w:numId w:val="15"/>
        </w:numPr>
        <w:jc w:val="both"/>
      </w:pPr>
      <w:r>
        <w:t>The sense of project ownership is greater as well since they are so directly involved in the application and subsequent administration of the funds.</w:t>
      </w:r>
    </w:p>
    <w:p w14:paraId="7747A020" w14:textId="77777777" w:rsidR="00FA314D" w:rsidRDefault="00FA314D" w:rsidP="00AF7953">
      <w:pPr>
        <w:pStyle w:val="Default"/>
        <w:jc w:val="both"/>
      </w:pPr>
    </w:p>
    <w:p w14:paraId="11D6DA4C" w14:textId="77777777" w:rsidR="00814DC6" w:rsidRDefault="003D3F9A" w:rsidP="00697A11">
      <w:pPr>
        <w:pStyle w:val="Default"/>
        <w:spacing w:after="120"/>
        <w:jc w:val="both"/>
        <w:rPr>
          <w:b/>
          <w:bCs/>
        </w:rPr>
      </w:pPr>
      <w:r>
        <w:rPr>
          <w:b/>
          <w:bCs/>
        </w:rPr>
        <w:t>Areas for improvement when replicating this Project Approach</w:t>
      </w:r>
    </w:p>
    <w:p w14:paraId="7A815405" w14:textId="77777777" w:rsidR="00AF7953" w:rsidRDefault="00C55DDB" w:rsidP="00AF7953">
      <w:pPr>
        <w:pStyle w:val="Default"/>
        <w:numPr>
          <w:ilvl w:val="0"/>
          <w:numId w:val="12"/>
        </w:numPr>
        <w:spacing w:after="120"/>
        <w:ind w:left="720"/>
        <w:jc w:val="both"/>
        <w:rPr>
          <w:bCs/>
        </w:rPr>
      </w:pPr>
      <w:r w:rsidRPr="00AF7953">
        <w:rPr>
          <w:bCs/>
        </w:rPr>
        <w:t>The UNDP model for small grants disbursement was difficult to manage in the context of the very small communities which had little project management capacity and did not have formalized structures for receipt and disbursement of funds. Th</w:t>
      </w:r>
      <w:r w:rsidR="00AF7953">
        <w:rPr>
          <w:bCs/>
        </w:rPr>
        <w:t>is</w:t>
      </w:r>
      <w:r w:rsidRPr="00AF7953">
        <w:rPr>
          <w:bCs/>
        </w:rPr>
        <w:t xml:space="preserve"> created delays and in some instances lack of enthusiasm within the community.</w:t>
      </w:r>
    </w:p>
    <w:p w14:paraId="4E814FC8" w14:textId="77777777" w:rsidR="00AF7953" w:rsidRDefault="00814DC6" w:rsidP="00AF7953">
      <w:pPr>
        <w:pStyle w:val="Default"/>
        <w:numPr>
          <w:ilvl w:val="0"/>
          <w:numId w:val="12"/>
        </w:numPr>
        <w:spacing w:after="120"/>
        <w:ind w:left="720"/>
        <w:jc w:val="both"/>
        <w:rPr>
          <w:bCs/>
        </w:rPr>
      </w:pPr>
      <w:r w:rsidRPr="00AF7953">
        <w:rPr>
          <w:bCs/>
        </w:rPr>
        <w:lastRenderedPageBreak/>
        <w:t xml:space="preserve">Having registered community groups helped in project administration and management so this should be a first step in developing community projects.  </w:t>
      </w:r>
      <w:r w:rsidR="00315290" w:rsidRPr="00AF7953">
        <w:rPr>
          <w:bCs/>
        </w:rPr>
        <w:t xml:space="preserve">An example of administrative problems created by lack of a formal NGO or other group through which the project could be administered was </w:t>
      </w:r>
      <w:r w:rsidR="005C2355" w:rsidRPr="00AF7953">
        <w:rPr>
          <w:bCs/>
        </w:rPr>
        <w:t>in</w:t>
      </w:r>
      <w:r w:rsidR="00315290" w:rsidRPr="00AF7953">
        <w:rPr>
          <w:bCs/>
        </w:rPr>
        <w:t xml:space="preserve"> disbursements of funds (given no bank account and no legal entity to act as executing agency funds could only be disbursed after expenditure </w:t>
      </w:r>
      <w:r w:rsidR="001D2A23" w:rsidRPr="00AF7953">
        <w:rPr>
          <w:bCs/>
        </w:rPr>
        <w:t>and</w:t>
      </w:r>
      <w:r w:rsidR="00315290" w:rsidRPr="00AF7953">
        <w:rPr>
          <w:bCs/>
        </w:rPr>
        <w:t xml:space="preserve"> there was no kind of petty cash system.)  </w:t>
      </w:r>
      <w:r w:rsidR="001D2A23">
        <w:rPr>
          <w:bCs/>
        </w:rPr>
        <w:t>T</w:t>
      </w:r>
      <w:r w:rsidR="00315290" w:rsidRPr="00AF7953">
        <w:rPr>
          <w:bCs/>
        </w:rPr>
        <w:t xml:space="preserve">his resulted in late payment to some contractors and instances where contractors did not want to do the work because of payment delays.  While </w:t>
      </w:r>
      <w:r w:rsidRPr="00AF7953">
        <w:rPr>
          <w:bCs/>
        </w:rPr>
        <w:t>community groups need to formalize their structures</w:t>
      </w:r>
      <w:r w:rsidR="00315290" w:rsidRPr="00AF7953">
        <w:rPr>
          <w:bCs/>
        </w:rPr>
        <w:t xml:space="preserve"> in future to facilitate grant funding,</w:t>
      </w:r>
      <w:r w:rsidRPr="00AF7953">
        <w:rPr>
          <w:bCs/>
        </w:rPr>
        <w:t xml:space="preserve"> formalization may hinder inclusiveness</w:t>
      </w:r>
      <w:r w:rsidR="00315290" w:rsidRPr="00AF7953">
        <w:rPr>
          <w:bCs/>
        </w:rPr>
        <w:t xml:space="preserve"> in some cases.</w:t>
      </w:r>
    </w:p>
    <w:p w14:paraId="51DE912F" w14:textId="77777777" w:rsidR="002B4EA3" w:rsidRPr="00AF7953" w:rsidRDefault="002B4EA3" w:rsidP="00AF7953">
      <w:pPr>
        <w:pStyle w:val="Default"/>
        <w:numPr>
          <w:ilvl w:val="0"/>
          <w:numId w:val="12"/>
        </w:numPr>
        <w:spacing w:after="120"/>
        <w:ind w:left="720"/>
        <w:jc w:val="both"/>
        <w:rPr>
          <w:bCs/>
        </w:rPr>
      </w:pPr>
      <w:r>
        <w:rPr>
          <w:bCs/>
        </w:rPr>
        <w:t>The selection process of the projects focused more on national needs than on project quality.  This resulted in some of the project scopes time and resources being grossly over or under-estimated.  Expert assistance at the concept stage would help in avoiding this problem.</w:t>
      </w:r>
    </w:p>
    <w:p w14:paraId="627496A2" w14:textId="77777777" w:rsidR="00814DC6" w:rsidRPr="00AF7953" w:rsidRDefault="00814DC6" w:rsidP="00AF7953">
      <w:pPr>
        <w:pStyle w:val="Default"/>
        <w:numPr>
          <w:ilvl w:val="0"/>
          <w:numId w:val="12"/>
        </w:numPr>
        <w:spacing w:after="120"/>
        <w:ind w:left="720"/>
        <w:jc w:val="both"/>
        <w:rPr>
          <w:bCs/>
        </w:rPr>
      </w:pPr>
      <w:r w:rsidRPr="00AF7953">
        <w:rPr>
          <w:bCs/>
        </w:rPr>
        <w:t>More training of community members in maintenance of facilities would contribute to long term sustainability of projects in construction/water and related sectors.</w:t>
      </w:r>
    </w:p>
    <w:p w14:paraId="2DC3A789" w14:textId="77777777" w:rsidR="00814DC6" w:rsidRPr="00F632FF" w:rsidRDefault="005158CF" w:rsidP="00AF7953">
      <w:pPr>
        <w:pStyle w:val="Default"/>
        <w:numPr>
          <w:ilvl w:val="0"/>
          <w:numId w:val="12"/>
        </w:numPr>
        <w:spacing w:after="120"/>
        <w:ind w:left="720"/>
        <w:jc w:val="both"/>
        <w:rPr>
          <w:bCs/>
        </w:rPr>
      </w:pPr>
      <w:r>
        <w:rPr>
          <w:bCs/>
        </w:rPr>
        <w:t>The provision of technical expertise from the inception of the individual projects helped to ensure successful completion, minimized delays and avoided wastage.  This should be a standard approach when dealing with small communities and funds should be included for this kind of project support</w:t>
      </w:r>
    </w:p>
    <w:p w14:paraId="45FEEEB6" w14:textId="5673639B" w:rsidR="008829C2" w:rsidRDefault="005158CF" w:rsidP="00AF7953">
      <w:pPr>
        <w:pStyle w:val="Default"/>
        <w:numPr>
          <w:ilvl w:val="0"/>
          <w:numId w:val="12"/>
        </w:numPr>
        <w:spacing w:after="120"/>
        <w:ind w:left="720"/>
        <w:jc w:val="both"/>
        <w:rPr>
          <w:bCs/>
        </w:rPr>
      </w:pPr>
      <w:r>
        <w:rPr>
          <w:bCs/>
        </w:rPr>
        <w:t xml:space="preserve">Additionally, training and development, including mentorship, allows for community capacity building and </w:t>
      </w:r>
      <w:r w:rsidR="00563835">
        <w:rPr>
          <w:bCs/>
        </w:rPr>
        <w:t>long-term</w:t>
      </w:r>
      <w:r>
        <w:rPr>
          <w:bCs/>
        </w:rPr>
        <w:t xml:space="preserve"> project sustainability and funds should also be set aside to provide this kind of community development.</w:t>
      </w:r>
    </w:p>
    <w:p w14:paraId="64137542" w14:textId="01B9B02E" w:rsidR="00697A11" w:rsidRPr="00697A11" w:rsidRDefault="00697A11" w:rsidP="00697A11">
      <w:pPr>
        <w:pStyle w:val="Default"/>
        <w:numPr>
          <w:ilvl w:val="0"/>
          <w:numId w:val="12"/>
        </w:numPr>
        <w:spacing w:after="120"/>
        <w:ind w:left="720"/>
        <w:jc w:val="both"/>
        <w:rPr>
          <w:bCs/>
        </w:rPr>
      </w:pPr>
      <w:r w:rsidRPr="00697A11">
        <w:rPr>
          <w:bCs/>
        </w:rPr>
        <w:t xml:space="preserve">The issue of sustainability is also of considerable concern as it raises questions about the ability of some projects to sustain themselves beyond the funding cycle provided under the CCCAF.  For many of the persons associated the opportunity to earn a wage, albeit for a few months, was the motivating factor.    </w:t>
      </w:r>
    </w:p>
    <w:p w14:paraId="23C10CF3" w14:textId="477DEBA9" w:rsidR="00697A11" w:rsidRDefault="00697A11" w:rsidP="00697A11">
      <w:pPr>
        <w:pStyle w:val="Default"/>
        <w:numPr>
          <w:ilvl w:val="0"/>
          <w:numId w:val="12"/>
        </w:numPr>
        <w:spacing w:after="120"/>
        <w:ind w:left="720"/>
        <w:jc w:val="both"/>
        <w:rPr>
          <w:bCs/>
        </w:rPr>
      </w:pPr>
      <w:r w:rsidRPr="00697A11">
        <w:rPr>
          <w:bCs/>
        </w:rPr>
        <w:t>In order to ensure a sustained culture of climate change awareness</w:t>
      </w:r>
      <w:r>
        <w:rPr>
          <w:bCs/>
        </w:rPr>
        <w:t>,</w:t>
      </w:r>
      <w:r w:rsidRPr="00697A11">
        <w:rPr>
          <w:bCs/>
        </w:rPr>
        <w:t xml:space="preserve"> </w:t>
      </w:r>
      <w:r>
        <w:rPr>
          <w:bCs/>
        </w:rPr>
        <w:t xml:space="preserve">adaptation, </w:t>
      </w:r>
      <w:r w:rsidRPr="00697A11">
        <w:rPr>
          <w:bCs/>
        </w:rPr>
        <w:t>and best influence social or behavioural change, it is imperative that projects take cognizance and demonstrate an understanding of the cultural and socio-economic norms of the country/people/community and ensure that adequate support mechanisms are provided to ensure sustained involvement, participation and buy-in</w:t>
      </w:r>
      <w:r>
        <w:rPr>
          <w:bCs/>
        </w:rPr>
        <w:t>.</w:t>
      </w:r>
    </w:p>
    <w:p w14:paraId="6018A1F1" w14:textId="77777777" w:rsidR="001D2A23" w:rsidRPr="00F632FF" w:rsidRDefault="001D2A23" w:rsidP="006E1031">
      <w:pPr>
        <w:pStyle w:val="Default"/>
        <w:spacing w:after="120"/>
        <w:ind w:left="720"/>
        <w:jc w:val="both"/>
        <w:rPr>
          <w:bCs/>
        </w:rPr>
      </w:pPr>
    </w:p>
    <w:p w14:paraId="2C0994FC" w14:textId="77777777" w:rsidR="00FA314D" w:rsidRDefault="001A75F7" w:rsidP="00AF7953">
      <w:pPr>
        <w:pStyle w:val="Default"/>
        <w:spacing w:after="120"/>
        <w:jc w:val="both"/>
        <w:rPr>
          <w:b/>
          <w:bCs/>
        </w:rPr>
      </w:pPr>
      <w:r w:rsidRPr="008829C2">
        <w:rPr>
          <w:b/>
          <w:bCs/>
        </w:rPr>
        <w:t xml:space="preserve">Key Comments on </w:t>
      </w:r>
      <w:r w:rsidR="001A44A1">
        <w:rPr>
          <w:b/>
          <w:bCs/>
        </w:rPr>
        <w:t>the CCCAF from stakeholders</w:t>
      </w:r>
    </w:p>
    <w:p w14:paraId="06A559BF" w14:textId="77777777" w:rsidR="00315290" w:rsidRPr="00F632FF" w:rsidRDefault="00315290" w:rsidP="00AF7953">
      <w:pPr>
        <w:pStyle w:val="Default"/>
        <w:jc w:val="both"/>
        <w:rPr>
          <w:bCs/>
        </w:rPr>
      </w:pPr>
      <w:r>
        <w:rPr>
          <w:bCs/>
        </w:rPr>
        <w:t>T</w:t>
      </w:r>
      <w:r w:rsidRPr="00F632FF">
        <w:rPr>
          <w:bCs/>
        </w:rPr>
        <w:t xml:space="preserve">hose in the project office say that the best thing about ICCAS and the CCCAF is that it </w:t>
      </w:r>
      <w:r w:rsidR="00E04E0D">
        <w:rPr>
          <w:bCs/>
        </w:rPr>
        <w:t>r</w:t>
      </w:r>
      <w:r w:rsidRPr="00F632FF">
        <w:rPr>
          <w:bCs/>
        </w:rPr>
        <w:t xml:space="preserve">eaches directly out to the community and as a result it has a direct positive impact on the community. An example of this is the fishermen in Carriacou who now </w:t>
      </w:r>
      <w:r w:rsidR="00C55DDB" w:rsidRPr="006F1AD2">
        <w:rPr>
          <w:bCs/>
        </w:rPr>
        <w:t>have</w:t>
      </w:r>
      <w:r w:rsidR="00C55DDB" w:rsidRPr="00315290">
        <w:rPr>
          <w:bCs/>
        </w:rPr>
        <w:t xml:space="preserve"> access to pipe</w:t>
      </w:r>
      <w:r w:rsidR="00C55DDB">
        <w:rPr>
          <w:bCs/>
        </w:rPr>
        <w:t>-</w:t>
      </w:r>
      <w:r w:rsidRPr="00F632FF">
        <w:rPr>
          <w:bCs/>
        </w:rPr>
        <w:t>borne water and they say</w:t>
      </w:r>
    </w:p>
    <w:p w14:paraId="1070B1D5" w14:textId="77777777" w:rsidR="001A44A1" w:rsidRPr="00F632FF" w:rsidRDefault="00315290" w:rsidP="00AF7953">
      <w:pPr>
        <w:pStyle w:val="Default"/>
        <w:jc w:val="both"/>
        <w:rPr>
          <w:bCs/>
        </w:rPr>
      </w:pPr>
      <w:r w:rsidRPr="00F632FF">
        <w:rPr>
          <w:bCs/>
        </w:rPr>
        <w:t>“I am having a shower as if I am on Grenada!”</w:t>
      </w:r>
    </w:p>
    <w:p w14:paraId="4E62E9C2" w14:textId="77777777" w:rsidR="00315290" w:rsidRPr="00F632FF" w:rsidRDefault="00315290" w:rsidP="00315290">
      <w:pPr>
        <w:pStyle w:val="Default"/>
        <w:rPr>
          <w:bCs/>
        </w:rPr>
      </w:pPr>
    </w:p>
    <w:p w14:paraId="43AE85DA" w14:textId="77777777" w:rsidR="00F24233" w:rsidRPr="00F24233" w:rsidRDefault="00F24233" w:rsidP="00AF7953">
      <w:pPr>
        <w:pStyle w:val="Default"/>
        <w:spacing w:after="120"/>
      </w:pPr>
      <w:r w:rsidRPr="00F24233">
        <w:rPr>
          <w:b/>
          <w:bCs/>
        </w:rPr>
        <w:t xml:space="preserve">Resources: </w:t>
      </w:r>
    </w:p>
    <w:p w14:paraId="1951D5E3" w14:textId="77777777" w:rsidR="00BC0189" w:rsidRPr="00F24233" w:rsidRDefault="00F24233" w:rsidP="00F24233">
      <w:pPr>
        <w:pStyle w:val="Default"/>
      </w:pPr>
      <w:r w:rsidRPr="00F24233">
        <w:t xml:space="preserve">Author: </w:t>
      </w:r>
      <w:r w:rsidR="00BC0189">
        <w:t>David Simmons &amp; Christina Barradas-Brewster/ Consultants/ Caribbean/</w:t>
      </w:r>
      <w:r w:rsidR="00BC0189" w:rsidRPr="00BC0189">
        <w:t>davidasimmons@outlook.com</w:t>
      </w:r>
    </w:p>
    <w:p w14:paraId="73872932" w14:textId="77777777" w:rsidR="00F24233" w:rsidRPr="00F24233" w:rsidRDefault="00F24233" w:rsidP="00F24233">
      <w:pPr>
        <w:pStyle w:val="Default"/>
      </w:pPr>
      <w:r w:rsidRPr="00F24233">
        <w:t xml:space="preserve">Location of Project: </w:t>
      </w:r>
      <w:r w:rsidR="00BC0189">
        <w:t>Caribbean/</w:t>
      </w:r>
      <w:r w:rsidRPr="00F24233">
        <w:t>OU/</w:t>
      </w:r>
      <w:r w:rsidR="00BC0189">
        <w:t>Grenada</w:t>
      </w:r>
    </w:p>
    <w:p w14:paraId="23446B29" w14:textId="77777777" w:rsidR="00F24233" w:rsidRPr="00F24233" w:rsidRDefault="00F24233" w:rsidP="00F24233">
      <w:pPr>
        <w:pStyle w:val="Default"/>
      </w:pPr>
      <w:r w:rsidRPr="00F24233">
        <w:lastRenderedPageBreak/>
        <w:t xml:space="preserve">MHT: What is the Major Habitat Type for this partnership? </w:t>
      </w:r>
      <w:r w:rsidR="000E1FBD">
        <w:t>national</w:t>
      </w:r>
    </w:p>
    <w:p w14:paraId="12CFD173" w14:textId="77777777" w:rsidR="00F24233" w:rsidRPr="00F24233" w:rsidRDefault="00F24233" w:rsidP="00F24233">
      <w:pPr>
        <w:pStyle w:val="Default"/>
      </w:pPr>
      <w:r w:rsidRPr="00F24233">
        <w:t xml:space="preserve">Types of Partners: Government, </w:t>
      </w:r>
      <w:r w:rsidR="00596B32">
        <w:t xml:space="preserve">International Agencies, </w:t>
      </w:r>
      <w:r w:rsidRPr="00F24233">
        <w:t>Place-based NGO, International NGO,</w:t>
      </w:r>
      <w:r w:rsidR="00596B32">
        <w:t xml:space="preserve"> </w:t>
      </w:r>
      <w:r w:rsidRPr="00F24233">
        <w:t xml:space="preserve">Community Based Organization etc. </w:t>
      </w:r>
    </w:p>
    <w:p w14:paraId="49A2DC2E" w14:textId="77777777" w:rsidR="00F24233" w:rsidRPr="00F24233" w:rsidRDefault="00F24233" w:rsidP="00F24233">
      <w:pPr>
        <w:pStyle w:val="Default"/>
      </w:pPr>
      <w:r w:rsidRPr="00F24233">
        <w:t xml:space="preserve">Priority: </w:t>
      </w:r>
      <w:r w:rsidR="000E1FBD">
        <w:t>all sectors</w:t>
      </w:r>
    </w:p>
    <w:p w14:paraId="07E59B6B" w14:textId="77777777" w:rsidR="00F24233" w:rsidRPr="00F24233" w:rsidRDefault="00F24233" w:rsidP="00F24233">
      <w:pPr>
        <w:pStyle w:val="Default"/>
      </w:pPr>
      <w:r w:rsidRPr="00F24233">
        <w:t xml:space="preserve">Date: </w:t>
      </w:r>
      <w:r w:rsidR="000E1FBD">
        <w:t xml:space="preserve">June </w:t>
      </w:r>
      <w:r w:rsidR="00BC0189">
        <w:t>2018</w:t>
      </w:r>
      <w:r w:rsidRPr="00F24233">
        <w:t xml:space="preserve"> </w:t>
      </w:r>
    </w:p>
    <w:p w14:paraId="0E880F06" w14:textId="77777777" w:rsidR="00F24233" w:rsidRDefault="003013A5" w:rsidP="00F632FF">
      <w:pPr>
        <w:spacing w:after="0"/>
        <w:rPr>
          <w:sz w:val="24"/>
          <w:szCs w:val="24"/>
        </w:rPr>
      </w:pPr>
      <w:r>
        <w:rPr>
          <w:sz w:val="24"/>
          <w:szCs w:val="24"/>
        </w:rPr>
        <w:t>Links</w:t>
      </w:r>
      <w:r w:rsidR="00B940AE" w:rsidRPr="004F7201">
        <w:rPr>
          <w:sz w:val="24"/>
          <w:szCs w:val="24"/>
        </w:rPr>
        <w:t>:</w:t>
      </w:r>
      <w:r w:rsidR="000E1FBD" w:rsidRPr="000E1FBD">
        <w:t xml:space="preserve"> </w:t>
      </w:r>
      <w:hyperlink r:id="rId14" w:history="1">
        <w:r w:rsidR="000E1FBD" w:rsidRPr="00D766B3">
          <w:rPr>
            <w:rStyle w:val="Hyperlink"/>
            <w:sz w:val="24"/>
            <w:szCs w:val="24"/>
          </w:rPr>
          <w:t>http://www.iccas.gd/?q=about-iccas</w:t>
        </w:r>
      </w:hyperlink>
    </w:p>
    <w:p w14:paraId="14B500AB" w14:textId="77777777" w:rsidR="001A44A1" w:rsidRDefault="00603714" w:rsidP="00596B32">
      <w:pPr>
        <w:tabs>
          <w:tab w:val="left" w:pos="6180"/>
        </w:tabs>
        <w:spacing w:after="0"/>
        <w:rPr>
          <w:sz w:val="24"/>
          <w:szCs w:val="24"/>
        </w:rPr>
      </w:pPr>
      <w:hyperlink r:id="rId15" w:history="1">
        <w:r w:rsidR="001A44A1" w:rsidRPr="0028736F">
          <w:rPr>
            <w:rStyle w:val="Hyperlink"/>
            <w:sz w:val="24"/>
            <w:szCs w:val="24"/>
          </w:rPr>
          <w:t>http://adaptation-undp.org/projects/bf-grenada</w:t>
        </w:r>
      </w:hyperlink>
    </w:p>
    <w:p w14:paraId="7EE76F64" w14:textId="77777777" w:rsidR="001A44A1" w:rsidRDefault="00603714" w:rsidP="00596B32">
      <w:pPr>
        <w:tabs>
          <w:tab w:val="left" w:pos="6180"/>
        </w:tabs>
        <w:spacing w:after="0"/>
        <w:rPr>
          <w:sz w:val="24"/>
          <w:szCs w:val="24"/>
        </w:rPr>
      </w:pPr>
      <w:hyperlink r:id="rId16" w:history="1">
        <w:r w:rsidR="001A44A1" w:rsidRPr="0028736F">
          <w:rPr>
            <w:rStyle w:val="Hyperlink"/>
            <w:sz w:val="24"/>
            <w:szCs w:val="24"/>
          </w:rPr>
          <w:t>https://www.weadapt.org/placemarks/maps/view/28681</w:t>
        </w:r>
      </w:hyperlink>
    </w:p>
    <w:p w14:paraId="0FA95647" w14:textId="77777777" w:rsidR="001A44A1" w:rsidRDefault="00603714" w:rsidP="00596B32">
      <w:pPr>
        <w:tabs>
          <w:tab w:val="left" w:pos="6180"/>
        </w:tabs>
        <w:spacing w:after="0"/>
        <w:rPr>
          <w:sz w:val="24"/>
          <w:szCs w:val="24"/>
        </w:rPr>
      </w:pPr>
      <w:hyperlink r:id="rId17" w:history="1">
        <w:r w:rsidR="001A44A1" w:rsidRPr="0028736F">
          <w:rPr>
            <w:rStyle w:val="Hyperlink"/>
            <w:sz w:val="24"/>
            <w:szCs w:val="24"/>
          </w:rPr>
          <w:t>https://undp-adaptation.exposure.co/integration-and-action</w:t>
        </w:r>
      </w:hyperlink>
    </w:p>
    <w:p w14:paraId="6E5F9A83" w14:textId="77777777" w:rsidR="00E04E0D" w:rsidRPr="00E04E0D" w:rsidRDefault="00596B32" w:rsidP="006E1031">
      <w:pPr>
        <w:tabs>
          <w:tab w:val="left" w:pos="6180"/>
        </w:tabs>
        <w:spacing w:after="0"/>
        <w:rPr>
          <w:sz w:val="24"/>
          <w:szCs w:val="24"/>
        </w:rPr>
      </w:pPr>
      <w:r>
        <w:rPr>
          <w:sz w:val="24"/>
          <w:szCs w:val="24"/>
        </w:rPr>
        <w:tab/>
      </w:r>
    </w:p>
    <w:sectPr w:rsidR="00E04E0D" w:rsidRPr="00E04E0D" w:rsidSect="00697A11">
      <w:pgSz w:w="12240" w:h="16340"/>
      <w:pgMar w:top="1440" w:right="1152" w:bottom="1440" w:left="1152" w:header="720" w:footer="720" w:gutter="0"/>
      <w:pgNumType w:fmt="numberInDash"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DE28" w14:textId="77777777" w:rsidR="00603714" w:rsidRDefault="00603714" w:rsidP="009F6A04">
      <w:pPr>
        <w:spacing w:after="0" w:line="240" w:lineRule="auto"/>
      </w:pPr>
      <w:r>
        <w:separator/>
      </w:r>
    </w:p>
  </w:endnote>
  <w:endnote w:type="continuationSeparator" w:id="0">
    <w:p w14:paraId="2A5B641C" w14:textId="77777777" w:rsidR="00603714" w:rsidRDefault="00603714" w:rsidP="009F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617660"/>
      <w:docPartObj>
        <w:docPartGallery w:val="Page Numbers (Bottom of Page)"/>
        <w:docPartUnique/>
      </w:docPartObj>
    </w:sdtPr>
    <w:sdtEndPr>
      <w:rPr>
        <w:noProof/>
      </w:rPr>
    </w:sdtEndPr>
    <w:sdtContent>
      <w:p w14:paraId="641EF56D" w14:textId="6B65128E" w:rsidR="00697A11" w:rsidRDefault="00697A11">
        <w:pPr>
          <w:pStyle w:val="Footer"/>
          <w:jc w:val="center"/>
        </w:pPr>
        <w:r>
          <w:fldChar w:fldCharType="begin"/>
        </w:r>
        <w:r>
          <w:instrText xml:space="preserve"> PAGE   \* MERGEFORMAT </w:instrText>
        </w:r>
        <w:r>
          <w:fldChar w:fldCharType="separate"/>
        </w:r>
        <w:r>
          <w:rPr>
            <w:noProof/>
          </w:rPr>
          <w:t>- 2 -</w:t>
        </w:r>
        <w:r>
          <w:rPr>
            <w:noProof/>
          </w:rPr>
          <w:fldChar w:fldCharType="end"/>
        </w:r>
      </w:p>
    </w:sdtContent>
  </w:sdt>
  <w:p w14:paraId="1559A796" w14:textId="77777777" w:rsidR="00697A11" w:rsidRDefault="00697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32C3B" w14:textId="77777777" w:rsidR="00603714" w:rsidRDefault="00603714" w:rsidP="009F6A04">
      <w:pPr>
        <w:spacing w:after="0" w:line="240" w:lineRule="auto"/>
      </w:pPr>
      <w:r>
        <w:separator/>
      </w:r>
    </w:p>
  </w:footnote>
  <w:footnote w:type="continuationSeparator" w:id="0">
    <w:p w14:paraId="1A97F231" w14:textId="77777777" w:rsidR="00603714" w:rsidRDefault="00603714" w:rsidP="009F6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928"/>
    <w:multiLevelType w:val="hybridMultilevel"/>
    <w:tmpl w:val="D608AC2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11173FD5"/>
    <w:multiLevelType w:val="hybridMultilevel"/>
    <w:tmpl w:val="0B60B944"/>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26CF0E2A"/>
    <w:multiLevelType w:val="hybridMultilevel"/>
    <w:tmpl w:val="0F16365A"/>
    <w:lvl w:ilvl="0" w:tplc="E198FDF8">
      <w:start w:val="1"/>
      <w:numFmt w:val="decimal"/>
      <w:lvlText w:val="%1"/>
      <w:lvlJc w:val="righ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2BDC5DEB"/>
    <w:multiLevelType w:val="hybridMultilevel"/>
    <w:tmpl w:val="9CB2DB6C"/>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31567BD0"/>
    <w:multiLevelType w:val="hybridMultilevel"/>
    <w:tmpl w:val="7F125474"/>
    <w:lvl w:ilvl="0" w:tplc="2C09000F">
      <w:start w:val="1"/>
      <w:numFmt w:val="decimal"/>
      <w:lvlText w:val="%1."/>
      <w:lvlJc w:val="left"/>
      <w:pPr>
        <w:ind w:left="720" w:hanging="360"/>
      </w:p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5" w15:restartNumberingAfterBreak="0">
    <w:nsid w:val="3ABC727E"/>
    <w:multiLevelType w:val="hybridMultilevel"/>
    <w:tmpl w:val="3134E26E"/>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6" w15:restartNumberingAfterBreak="0">
    <w:nsid w:val="3C5433DE"/>
    <w:multiLevelType w:val="hybridMultilevel"/>
    <w:tmpl w:val="279CE9DC"/>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15:restartNumberingAfterBreak="0">
    <w:nsid w:val="3E2974AA"/>
    <w:multiLevelType w:val="hybridMultilevel"/>
    <w:tmpl w:val="F6D01318"/>
    <w:lvl w:ilvl="0" w:tplc="2C090005">
      <w:start w:val="1"/>
      <w:numFmt w:val="bullet"/>
      <w:lvlText w:val=""/>
      <w:lvlJc w:val="left"/>
      <w:pPr>
        <w:ind w:left="1080" w:hanging="360"/>
      </w:pPr>
      <w:rPr>
        <w:rFonts w:ascii="Wingdings" w:hAnsi="Wingdings" w:hint="default"/>
      </w:rPr>
    </w:lvl>
    <w:lvl w:ilvl="1" w:tplc="2C090003" w:tentative="1">
      <w:start w:val="1"/>
      <w:numFmt w:val="bullet"/>
      <w:lvlText w:val="o"/>
      <w:lvlJc w:val="left"/>
      <w:pPr>
        <w:ind w:left="1800" w:hanging="360"/>
      </w:pPr>
      <w:rPr>
        <w:rFonts w:ascii="Courier New" w:hAnsi="Courier New" w:cs="Courier New" w:hint="default"/>
      </w:rPr>
    </w:lvl>
    <w:lvl w:ilvl="2" w:tplc="2C090005" w:tentative="1">
      <w:start w:val="1"/>
      <w:numFmt w:val="bullet"/>
      <w:lvlText w:val=""/>
      <w:lvlJc w:val="left"/>
      <w:pPr>
        <w:ind w:left="2520" w:hanging="360"/>
      </w:pPr>
      <w:rPr>
        <w:rFonts w:ascii="Wingdings" w:hAnsi="Wingdings" w:hint="default"/>
      </w:rPr>
    </w:lvl>
    <w:lvl w:ilvl="3" w:tplc="2C090001" w:tentative="1">
      <w:start w:val="1"/>
      <w:numFmt w:val="bullet"/>
      <w:lvlText w:val=""/>
      <w:lvlJc w:val="left"/>
      <w:pPr>
        <w:ind w:left="3240" w:hanging="360"/>
      </w:pPr>
      <w:rPr>
        <w:rFonts w:ascii="Symbol" w:hAnsi="Symbol" w:hint="default"/>
      </w:rPr>
    </w:lvl>
    <w:lvl w:ilvl="4" w:tplc="2C090003" w:tentative="1">
      <w:start w:val="1"/>
      <w:numFmt w:val="bullet"/>
      <w:lvlText w:val="o"/>
      <w:lvlJc w:val="left"/>
      <w:pPr>
        <w:ind w:left="3960" w:hanging="360"/>
      </w:pPr>
      <w:rPr>
        <w:rFonts w:ascii="Courier New" w:hAnsi="Courier New" w:cs="Courier New" w:hint="default"/>
      </w:rPr>
    </w:lvl>
    <w:lvl w:ilvl="5" w:tplc="2C090005" w:tentative="1">
      <w:start w:val="1"/>
      <w:numFmt w:val="bullet"/>
      <w:lvlText w:val=""/>
      <w:lvlJc w:val="left"/>
      <w:pPr>
        <w:ind w:left="4680" w:hanging="360"/>
      </w:pPr>
      <w:rPr>
        <w:rFonts w:ascii="Wingdings" w:hAnsi="Wingdings" w:hint="default"/>
      </w:rPr>
    </w:lvl>
    <w:lvl w:ilvl="6" w:tplc="2C090001" w:tentative="1">
      <w:start w:val="1"/>
      <w:numFmt w:val="bullet"/>
      <w:lvlText w:val=""/>
      <w:lvlJc w:val="left"/>
      <w:pPr>
        <w:ind w:left="5400" w:hanging="360"/>
      </w:pPr>
      <w:rPr>
        <w:rFonts w:ascii="Symbol" w:hAnsi="Symbol" w:hint="default"/>
      </w:rPr>
    </w:lvl>
    <w:lvl w:ilvl="7" w:tplc="2C090003" w:tentative="1">
      <w:start w:val="1"/>
      <w:numFmt w:val="bullet"/>
      <w:lvlText w:val="o"/>
      <w:lvlJc w:val="left"/>
      <w:pPr>
        <w:ind w:left="6120" w:hanging="360"/>
      </w:pPr>
      <w:rPr>
        <w:rFonts w:ascii="Courier New" w:hAnsi="Courier New" w:cs="Courier New" w:hint="default"/>
      </w:rPr>
    </w:lvl>
    <w:lvl w:ilvl="8" w:tplc="2C090005" w:tentative="1">
      <w:start w:val="1"/>
      <w:numFmt w:val="bullet"/>
      <w:lvlText w:val=""/>
      <w:lvlJc w:val="left"/>
      <w:pPr>
        <w:ind w:left="6840" w:hanging="360"/>
      </w:pPr>
      <w:rPr>
        <w:rFonts w:ascii="Wingdings" w:hAnsi="Wingdings" w:hint="default"/>
      </w:rPr>
    </w:lvl>
  </w:abstractNum>
  <w:abstractNum w:abstractNumId="8" w15:restartNumberingAfterBreak="0">
    <w:nsid w:val="42BC6449"/>
    <w:multiLevelType w:val="hybridMultilevel"/>
    <w:tmpl w:val="19647AE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9" w15:restartNumberingAfterBreak="0">
    <w:nsid w:val="4603130D"/>
    <w:multiLevelType w:val="multilevel"/>
    <w:tmpl w:val="1BA865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4FA64B9D"/>
    <w:multiLevelType w:val="hybridMultilevel"/>
    <w:tmpl w:val="21BEF972"/>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1" w15:restartNumberingAfterBreak="0">
    <w:nsid w:val="520713FB"/>
    <w:multiLevelType w:val="hybridMultilevel"/>
    <w:tmpl w:val="64DCE656"/>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2" w15:restartNumberingAfterBreak="0">
    <w:nsid w:val="5DE012C0"/>
    <w:multiLevelType w:val="hybridMultilevel"/>
    <w:tmpl w:val="276811C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3" w15:restartNumberingAfterBreak="0">
    <w:nsid w:val="608C194B"/>
    <w:multiLevelType w:val="hybridMultilevel"/>
    <w:tmpl w:val="689E08A8"/>
    <w:lvl w:ilvl="0" w:tplc="6FEAD4F6">
      <w:start w:val="1"/>
      <w:numFmt w:val="decimal"/>
      <w:lvlText w:val="%1."/>
      <w:lvlJc w:val="left"/>
      <w:pPr>
        <w:ind w:left="720" w:hanging="360"/>
      </w:pPr>
      <w:rPr>
        <w:b w:val="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4" w15:restartNumberingAfterBreak="0">
    <w:nsid w:val="632E2AFB"/>
    <w:multiLevelType w:val="hybridMultilevel"/>
    <w:tmpl w:val="7CDC821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5" w15:restartNumberingAfterBreak="0">
    <w:nsid w:val="687779C2"/>
    <w:multiLevelType w:val="hybridMultilevel"/>
    <w:tmpl w:val="CAC471C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6" w15:restartNumberingAfterBreak="0">
    <w:nsid w:val="74A07F65"/>
    <w:multiLevelType w:val="multilevel"/>
    <w:tmpl w:val="4404CB4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2"/>
  </w:num>
  <w:num w:numId="2">
    <w:abstractNumId w:val="14"/>
  </w:num>
  <w:num w:numId="3">
    <w:abstractNumId w:val="8"/>
  </w:num>
  <w:num w:numId="4">
    <w:abstractNumId w:val="5"/>
  </w:num>
  <w:num w:numId="5">
    <w:abstractNumId w:val="9"/>
  </w:num>
  <w:num w:numId="6">
    <w:abstractNumId w:val="12"/>
  </w:num>
  <w:num w:numId="7">
    <w:abstractNumId w:val="0"/>
  </w:num>
  <w:num w:numId="8">
    <w:abstractNumId w:val="4"/>
  </w:num>
  <w:num w:numId="9">
    <w:abstractNumId w:val="13"/>
  </w:num>
  <w:num w:numId="10">
    <w:abstractNumId w:val="1"/>
  </w:num>
  <w:num w:numId="11">
    <w:abstractNumId w:val="3"/>
  </w:num>
  <w:num w:numId="12">
    <w:abstractNumId w:val="11"/>
  </w:num>
  <w:num w:numId="13">
    <w:abstractNumId w:val="15"/>
  </w:num>
  <w:num w:numId="14">
    <w:abstractNumId w:val="6"/>
  </w:num>
  <w:num w:numId="15">
    <w:abstractNumId w:val="10"/>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2NDS1MDE3MDQzMjBV0lEKTi0uzszPAymwqAUAl+kvEywAAAA="/>
  </w:docVars>
  <w:rsids>
    <w:rsidRoot w:val="00F24233"/>
    <w:rsid w:val="00004CA2"/>
    <w:rsid w:val="000067AE"/>
    <w:rsid w:val="00045F9F"/>
    <w:rsid w:val="00054D30"/>
    <w:rsid w:val="000B0AF8"/>
    <w:rsid w:val="000E1FBD"/>
    <w:rsid w:val="000E75FB"/>
    <w:rsid w:val="000F65CB"/>
    <w:rsid w:val="00100812"/>
    <w:rsid w:val="00171C71"/>
    <w:rsid w:val="00181E9A"/>
    <w:rsid w:val="00194546"/>
    <w:rsid w:val="001A44A1"/>
    <w:rsid w:val="001A75F7"/>
    <w:rsid w:val="001D2A23"/>
    <w:rsid w:val="001E2C9A"/>
    <w:rsid w:val="001E4ACA"/>
    <w:rsid w:val="00221624"/>
    <w:rsid w:val="002820AE"/>
    <w:rsid w:val="00296E4C"/>
    <w:rsid w:val="00297027"/>
    <w:rsid w:val="002A65C1"/>
    <w:rsid w:val="002A755C"/>
    <w:rsid w:val="002B4EA3"/>
    <w:rsid w:val="002E52B5"/>
    <w:rsid w:val="002E6980"/>
    <w:rsid w:val="002F7B92"/>
    <w:rsid w:val="003013A5"/>
    <w:rsid w:val="00315290"/>
    <w:rsid w:val="00315409"/>
    <w:rsid w:val="00327766"/>
    <w:rsid w:val="00337D26"/>
    <w:rsid w:val="00377C50"/>
    <w:rsid w:val="003838C7"/>
    <w:rsid w:val="0039547B"/>
    <w:rsid w:val="003A1D61"/>
    <w:rsid w:val="003A7A71"/>
    <w:rsid w:val="003C550F"/>
    <w:rsid w:val="003D3F9A"/>
    <w:rsid w:val="003E7C5B"/>
    <w:rsid w:val="00403156"/>
    <w:rsid w:val="00423FF6"/>
    <w:rsid w:val="004327F4"/>
    <w:rsid w:val="004372B7"/>
    <w:rsid w:val="004C3492"/>
    <w:rsid w:val="004F50CB"/>
    <w:rsid w:val="004F7201"/>
    <w:rsid w:val="005158CF"/>
    <w:rsid w:val="0055220E"/>
    <w:rsid w:val="00562A99"/>
    <w:rsid w:val="00563835"/>
    <w:rsid w:val="0058592E"/>
    <w:rsid w:val="00596B32"/>
    <w:rsid w:val="005A2E75"/>
    <w:rsid w:val="005C2355"/>
    <w:rsid w:val="005F038E"/>
    <w:rsid w:val="005F54E8"/>
    <w:rsid w:val="00603714"/>
    <w:rsid w:val="00604285"/>
    <w:rsid w:val="00613F87"/>
    <w:rsid w:val="00697A11"/>
    <w:rsid w:val="006B3D7C"/>
    <w:rsid w:val="006D4FF8"/>
    <w:rsid w:val="006E1031"/>
    <w:rsid w:val="00711DEA"/>
    <w:rsid w:val="007136BF"/>
    <w:rsid w:val="007523B3"/>
    <w:rsid w:val="00780AED"/>
    <w:rsid w:val="007D6381"/>
    <w:rsid w:val="007E6567"/>
    <w:rsid w:val="0080642A"/>
    <w:rsid w:val="00814DC6"/>
    <w:rsid w:val="0081668B"/>
    <w:rsid w:val="0081767D"/>
    <w:rsid w:val="00843C95"/>
    <w:rsid w:val="008829C2"/>
    <w:rsid w:val="008B491B"/>
    <w:rsid w:val="0090731F"/>
    <w:rsid w:val="00993431"/>
    <w:rsid w:val="00994A9E"/>
    <w:rsid w:val="009B58E9"/>
    <w:rsid w:val="009F0568"/>
    <w:rsid w:val="009F6A04"/>
    <w:rsid w:val="00A03EB9"/>
    <w:rsid w:val="00A05BFC"/>
    <w:rsid w:val="00AA37D1"/>
    <w:rsid w:val="00AB14E1"/>
    <w:rsid w:val="00AD177F"/>
    <w:rsid w:val="00AE56D8"/>
    <w:rsid w:val="00AF7953"/>
    <w:rsid w:val="00B21B50"/>
    <w:rsid w:val="00B445E4"/>
    <w:rsid w:val="00B756A0"/>
    <w:rsid w:val="00B76FAE"/>
    <w:rsid w:val="00B8464A"/>
    <w:rsid w:val="00B940AE"/>
    <w:rsid w:val="00BA6254"/>
    <w:rsid w:val="00BC0189"/>
    <w:rsid w:val="00C05B47"/>
    <w:rsid w:val="00C50A1C"/>
    <w:rsid w:val="00C55DDB"/>
    <w:rsid w:val="00CA4806"/>
    <w:rsid w:val="00CA668E"/>
    <w:rsid w:val="00CD32E5"/>
    <w:rsid w:val="00D018F4"/>
    <w:rsid w:val="00D5130C"/>
    <w:rsid w:val="00D54E4F"/>
    <w:rsid w:val="00E02A63"/>
    <w:rsid w:val="00E039D0"/>
    <w:rsid w:val="00E04E0D"/>
    <w:rsid w:val="00E16ADE"/>
    <w:rsid w:val="00EA5A25"/>
    <w:rsid w:val="00F14076"/>
    <w:rsid w:val="00F24233"/>
    <w:rsid w:val="00F3302A"/>
    <w:rsid w:val="00F43EA5"/>
    <w:rsid w:val="00F632FF"/>
    <w:rsid w:val="00F842F0"/>
    <w:rsid w:val="00FA314D"/>
    <w:rsid w:val="00FB1365"/>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1F78"/>
  <w15:chartTrackingRefBased/>
  <w15:docId w15:val="{53A8CCB9-A313-471A-9E85-B1AC62CB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23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2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24233"/>
    <w:pPr>
      <w:spacing w:after="0" w:line="240" w:lineRule="auto"/>
    </w:pPr>
    <w:rPr>
      <w:rFonts w:eastAsiaTheme="minorEastAsia"/>
      <w:lang w:eastAsia="en-TT"/>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A7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A71"/>
    <w:rPr>
      <w:rFonts w:ascii="Segoe UI" w:hAnsi="Segoe UI" w:cs="Segoe UI"/>
      <w:sz w:val="18"/>
      <w:szCs w:val="18"/>
    </w:rPr>
  </w:style>
  <w:style w:type="character" w:styleId="CommentReference">
    <w:name w:val="annotation reference"/>
    <w:basedOn w:val="DefaultParagraphFont"/>
    <w:uiPriority w:val="99"/>
    <w:semiHidden/>
    <w:unhideWhenUsed/>
    <w:rsid w:val="000F65CB"/>
    <w:rPr>
      <w:sz w:val="16"/>
      <w:szCs w:val="16"/>
    </w:rPr>
  </w:style>
  <w:style w:type="paragraph" w:styleId="CommentText">
    <w:name w:val="annotation text"/>
    <w:basedOn w:val="Normal"/>
    <w:link w:val="CommentTextChar"/>
    <w:uiPriority w:val="99"/>
    <w:semiHidden/>
    <w:unhideWhenUsed/>
    <w:rsid w:val="000F65CB"/>
    <w:pPr>
      <w:spacing w:line="240" w:lineRule="auto"/>
    </w:pPr>
    <w:rPr>
      <w:sz w:val="20"/>
      <w:szCs w:val="20"/>
    </w:rPr>
  </w:style>
  <w:style w:type="character" w:customStyle="1" w:styleId="CommentTextChar">
    <w:name w:val="Comment Text Char"/>
    <w:basedOn w:val="DefaultParagraphFont"/>
    <w:link w:val="CommentText"/>
    <w:uiPriority w:val="99"/>
    <w:semiHidden/>
    <w:rsid w:val="000F65CB"/>
    <w:rPr>
      <w:sz w:val="20"/>
      <w:szCs w:val="20"/>
    </w:rPr>
  </w:style>
  <w:style w:type="paragraph" w:styleId="CommentSubject">
    <w:name w:val="annotation subject"/>
    <w:basedOn w:val="CommentText"/>
    <w:next w:val="CommentText"/>
    <w:link w:val="CommentSubjectChar"/>
    <w:uiPriority w:val="99"/>
    <w:semiHidden/>
    <w:unhideWhenUsed/>
    <w:rsid w:val="000F65CB"/>
    <w:rPr>
      <w:b/>
      <w:bCs/>
    </w:rPr>
  </w:style>
  <w:style w:type="character" w:customStyle="1" w:styleId="CommentSubjectChar">
    <w:name w:val="Comment Subject Char"/>
    <w:basedOn w:val="CommentTextChar"/>
    <w:link w:val="CommentSubject"/>
    <w:uiPriority w:val="99"/>
    <w:semiHidden/>
    <w:rsid w:val="000F65CB"/>
    <w:rPr>
      <w:b/>
      <w:bCs/>
      <w:sz w:val="20"/>
      <w:szCs w:val="20"/>
    </w:rPr>
  </w:style>
  <w:style w:type="character" w:styleId="Hyperlink">
    <w:name w:val="Hyperlink"/>
    <w:basedOn w:val="DefaultParagraphFont"/>
    <w:uiPriority w:val="99"/>
    <w:unhideWhenUsed/>
    <w:rsid w:val="009F6A04"/>
    <w:rPr>
      <w:color w:val="0000FF"/>
      <w:u w:val="single"/>
    </w:rPr>
  </w:style>
  <w:style w:type="paragraph" w:styleId="Header">
    <w:name w:val="header"/>
    <w:basedOn w:val="Normal"/>
    <w:link w:val="HeaderChar"/>
    <w:uiPriority w:val="99"/>
    <w:unhideWhenUsed/>
    <w:rsid w:val="009F6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A04"/>
  </w:style>
  <w:style w:type="paragraph" w:styleId="Footer">
    <w:name w:val="footer"/>
    <w:basedOn w:val="Normal"/>
    <w:link w:val="FooterChar"/>
    <w:uiPriority w:val="99"/>
    <w:unhideWhenUsed/>
    <w:rsid w:val="009F6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A04"/>
  </w:style>
  <w:style w:type="character" w:styleId="UnresolvedMention">
    <w:name w:val="Unresolved Mention"/>
    <w:basedOn w:val="DefaultParagraphFont"/>
    <w:uiPriority w:val="99"/>
    <w:semiHidden/>
    <w:unhideWhenUsed/>
    <w:rsid w:val="000E1FBD"/>
    <w:rPr>
      <w:color w:val="605E5C"/>
      <w:shd w:val="clear" w:color="auto" w:fill="E1DFDD"/>
    </w:rPr>
  </w:style>
  <w:style w:type="paragraph" w:styleId="ListParagraph">
    <w:name w:val="List Paragraph"/>
    <w:basedOn w:val="Normal"/>
    <w:uiPriority w:val="34"/>
    <w:qFormat/>
    <w:rsid w:val="00AF7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667250">
      <w:bodyDiv w:val="1"/>
      <w:marLeft w:val="0"/>
      <w:marRight w:val="0"/>
      <w:marTop w:val="0"/>
      <w:marBottom w:val="0"/>
      <w:divBdr>
        <w:top w:val="none" w:sz="0" w:space="0" w:color="auto"/>
        <w:left w:val="none" w:sz="0" w:space="0" w:color="auto"/>
        <w:bottom w:val="none" w:sz="0" w:space="0" w:color="auto"/>
        <w:right w:val="none" w:sz="0" w:space="0" w:color="auto"/>
      </w:divBdr>
      <w:divsChild>
        <w:div w:id="408308842">
          <w:marLeft w:val="0"/>
          <w:marRight w:val="0"/>
          <w:marTop w:val="0"/>
          <w:marBottom w:val="0"/>
          <w:divBdr>
            <w:top w:val="none" w:sz="0" w:space="0" w:color="auto"/>
            <w:left w:val="none" w:sz="0" w:space="0" w:color="auto"/>
            <w:bottom w:val="none" w:sz="0" w:space="0" w:color="auto"/>
            <w:right w:val="none" w:sz="0" w:space="0" w:color="auto"/>
          </w:divBdr>
          <w:divsChild>
            <w:div w:id="1877692899">
              <w:marLeft w:val="0"/>
              <w:marRight w:val="0"/>
              <w:marTop w:val="0"/>
              <w:marBottom w:val="0"/>
              <w:divBdr>
                <w:top w:val="none" w:sz="0" w:space="0" w:color="auto"/>
                <w:left w:val="none" w:sz="0" w:space="0" w:color="auto"/>
                <w:bottom w:val="none" w:sz="0" w:space="0" w:color="auto"/>
                <w:right w:val="none" w:sz="0" w:space="0" w:color="auto"/>
              </w:divBdr>
              <w:divsChild>
                <w:div w:id="18543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6865">
      <w:bodyDiv w:val="1"/>
      <w:marLeft w:val="0"/>
      <w:marRight w:val="0"/>
      <w:marTop w:val="0"/>
      <w:marBottom w:val="0"/>
      <w:divBdr>
        <w:top w:val="none" w:sz="0" w:space="0" w:color="auto"/>
        <w:left w:val="none" w:sz="0" w:space="0" w:color="auto"/>
        <w:bottom w:val="none" w:sz="0" w:space="0" w:color="auto"/>
        <w:right w:val="none" w:sz="0" w:space="0" w:color="auto"/>
      </w:divBdr>
      <w:divsChild>
        <w:div w:id="1060204516">
          <w:marLeft w:val="0"/>
          <w:marRight w:val="0"/>
          <w:marTop w:val="0"/>
          <w:marBottom w:val="0"/>
          <w:divBdr>
            <w:top w:val="none" w:sz="0" w:space="0" w:color="auto"/>
            <w:left w:val="none" w:sz="0" w:space="0" w:color="auto"/>
            <w:bottom w:val="none" w:sz="0" w:space="0" w:color="auto"/>
            <w:right w:val="none" w:sz="0" w:space="0" w:color="auto"/>
          </w:divBdr>
          <w:divsChild>
            <w:div w:id="1288468330">
              <w:marLeft w:val="0"/>
              <w:marRight w:val="0"/>
              <w:marTop w:val="0"/>
              <w:marBottom w:val="0"/>
              <w:divBdr>
                <w:top w:val="none" w:sz="0" w:space="0" w:color="auto"/>
                <w:left w:val="none" w:sz="0" w:space="0" w:color="auto"/>
                <w:bottom w:val="none" w:sz="0" w:space="0" w:color="auto"/>
                <w:right w:val="none" w:sz="0" w:space="0" w:color="auto"/>
              </w:divBdr>
              <w:divsChild>
                <w:div w:id="17494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76761">
      <w:bodyDiv w:val="1"/>
      <w:marLeft w:val="0"/>
      <w:marRight w:val="0"/>
      <w:marTop w:val="0"/>
      <w:marBottom w:val="0"/>
      <w:divBdr>
        <w:top w:val="none" w:sz="0" w:space="0" w:color="auto"/>
        <w:left w:val="none" w:sz="0" w:space="0" w:color="auto"/>
        <w:bottom w:val="none" w:sz="0" w:space="0" w:color="auto"/>
        <w:right w:val="none" w:sz="0" w:space="0" w:color="auto"/>
      </w:divBdr>
    </w:div>
    <w:div w:id="11457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vidAsimmons@outloo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undp-adaptation.exposure.co/integration-and-action" TargetMode="External"/><Relationship Id="rId2" Type="http://schemas.openxmlformats.org/officeDocument/2006/relationships/numbering" Target="numbering.xml"/><Relationship Id="rId16" Type="http://schemas.openxmlformats.org/officeDocument/2006/relationships/hyperlink" Target="https://www.weadapt.org/placemarks/maps/view/286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adaptation-undp.org/projects/bf-grenada"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ccas.gd/?q=about-icc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1985B-6D4C-4981-A705-96839FD0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Simmons</dc:creator>
  <cp:keywords/>
  <dc:description/>
  <cp:lastModifiedBy>David A Simmons</cp:lastModifiedBy>
  <cp:revision>3</cp:revision>
  <cp:lastPrinted>2018-03-31T18:33:00Z</cp:lastPrinted>
  <dcterms:created xsi:type="dcterms:W3CDTF">2018-06-05T11:26:00Z</dcterms:created>
  <dcterms:modified xsi:type="dcterms:W3CDTF">2018-06-05T12:52:00Z</dcterms:modified>
</cp:coreProperties>
</file>