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D6EE" w14:textId="347454F9" w:rsidR="009F6A04" w:rsidRDefault="006811A8" w:rsidP="009F6A04">
      <w:r>
        <w:rPr>
          <w:noProof/>
        </w:rPr>
        <w:drawing>
          <wp:anchor distT="0" distB="0" distL="114300" distR="114300" simplePos="0" relativeHeight="251679744" behindDoc="0" locked="0" layoutInCell="1" allowOverlap="1" wp14:anchorId="6B0CB652" wp14:editId="7A2371D4">
            <wp:simplePos x="0" y="0"/>
            <wp:positionH relativeFrom="column">
              <wp:posOffset>3259455</wp:posOffset>
            </wp:positionH>
            <wp:positionV relativeFrom="paragraph">
              <wp:posOffset>-125095</wp:posOffset>
            </wp:positionV>
            <wp:extent cx="878205" cy="895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95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0" locked="0" layoutInCell="1" allowOverlap="1" wp14:anchorId="729FB36F" wp14:editId="0420A8C2">
            <wp:simplePos x="0" y="0"/>
            <wp:positionH relativeFrom="column">
              <wp:posOffset>342900</wp:posOffset>
            </wp:positionH>
            <wp:positionV relativeFrom="paragraph">
              <wp:posOffset>-120015</wp:posOffset>
            </wp:positionV>
            <wp:extent cx="2786426" cy="901065"/>
            <wp:effectExtent l="0" t="0" r="0" b="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6426" cy="901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3118D2" wp14:editId="53770112">
            <wp:simplePos x="0" y="0"/>
            <wp:positionH relativeFrom="column">
              <wp:posOffset>-457200</wp:posOffset>
            </wp:positionH>
            <wp:positionV relativeFrom="paragraph">
              <wp:posOffset>-409575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A28C3A8" wp14:editId="227B4293">
            <wp:simplePos x="0" y="0"/>
            <wp:positionH relativeFrom="column">
              <wp:posOffset>4229100</wp:posOffset>
            </wp:positionH>
            <wp:positionV relativeFrom="paragraph">
              <wp:posOffset>-133350</wp:posOffset>
            </wp:positionV>
            <wp:extent cx="2193290" cy="91435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3290" cy="914358"/>
                    </a:xfrm>
                    <a:prstGeom prst="rect">
                      <a:avLst/>
                    </a:prstGeom>
                    <a:noFill/>
                  </pic:spPr>
                </pic:pic>
              </a:graphicData>
            </a:graphic>
            <wp14:sizeRelH relativeFrom="page">
              <wp14:pctWidth>0</wp14:pctWidth>
            </wp14:sizeRelH>
            <wp14:sizeRelV relativeFrom="page">
              <wp14:pctHeight>0</wp14:pctHeight>
            </wp14:sizeRelV>
          </wp:anchor>
        </w:drawing>
      </w:r>
    </w:p>
    <w:p w14:paraId="5A48587A" w14:textId="6B45E124" w:rsidR="009F6A04" w:rsidRDefault="009F6A04" w:rsidP="009F6A04"/>
    <w:p w14:paraId="24772F5E" w14:textId="33F3E1A8" w:rsidR="009F6A04" w:rsidRDefault="009F6A04" w:rsidP="009F6A04">
      <w:pPr>
        <w:autoSpaceDE w:val="0"/>
        <w:autoSpaceDN w:val="0"/>
        <w:adjustRightInd w:val="0"/>
        <w:spacing w:after="0" w:line="240" w:lineRule="auto"/>
        <w:rPr>
          <w:rFonts w:ascii="Calibri" w:hAnsi="Calibri" w:cs="Calibri"/>
          <w:color w:val="000000"/>
          <w:sz w:val="24"/>
          <w:szCs w:val="24"/>
        </w:rPr>
      </w:pPr>
    </w:p>
    <w:p w14:paraId="0B60E3F8" w14:textId="5B77DB3D" w:rsidR="009F6A04" w:rsidRDefault="009F6A04" w:rsidP="009F6A04">
      <w:pPr>
        <w:autoSpaceDE w:val="0"/>
        <w:autoSpaceDN w:val="0"/>
        <w:adjustRightInd w:val="0"/>
        <w:spacing w:after="0" w:line="240" w:lineRule="auto"/>
        <w:rPr>
          <w:sz w:val="24"/>
          <w:szCs w:val="24"/>
        </w:rPr>
      </w:pPr>
    </w:p>
    <w:p w14:paraId="1F166B20" w14:textId="77777777" w:rsidR="009F6A04" w:rsidRDefault="009F6A04" w:rsidP="009F6A04">
      <w:pPr>
        <w:autoSpaceDE w:val="0"/>
        <w:autoSpaceDN w:val="0"/>
        <w:adjustRightInd w:val="0"/>
        <w:spacing w:after="0" w:line="240" w:lineRule="auto"/>
        <w:rPr>
          <w:sz w:val="24"/>
          <w:szCs w:val="24"/>
        </w:rPr>
      </w:pPr>
    </w:p>
    <w:p w14:paraId="3A186FC9" w14:textId="77777777" w:rsidR="009F6A04" w:rsidRDefault="009F6A04" w:rsidP="009F6A04">
      <w:pPr>
        <w:autoSpaceDE w:val="0"/>
        <w:autoSpaceDN w:val="0"/>
        <w:adjustRightInd w:val="0"/>
        <w:spacing w:after="0" w:line="240" w:lineRule="auto"/>
        <w:rPr>
          <w:sz w:val="24"/>
          <w:szCs w:val="24"/>
        </w:rPr>
      </w:pPr>
    </w:p>
    <w:p w14:paraId="56853E98" w14:textId="77777777" w:rsidR="009F6A04" w:rsidRDefault="009F6A04" w:rsidP="009F6A04">
      <w:pPr>
        <w:jc w:val="center"/>
        <w:rPr>
          <w:b/>
          <w:bCs/>
          <w:sz w:val="23"/>
          <w:szCs w:val="23"/>
        </w:rPr>
      </w:pPr>
    </w:p>
    <w:p w14:paraId="50BF3F7C" w14:textId="77777777" w:rsidR="009F6A04" w:rsidRDefault="009F6A04" w:rsidP="009F6A04">
      <w:pPr>
        <w:jc w:val="center"/>
        <w:rPr>
          <w:b/>
          <w:bCs/>
          <w:sz w:val="23"/>
          <w:szCs w:val="23"/>
        </w:rPr>
      </w:pPr>
    </w:p>
    <w:p w14:paraId="53F351F6" w14:textId="77777777" w:rsidR="009F6A04" w:rsidRDefault="004372B7" w:rsidP="009F6A04">
      <w:pPr>
        <w:jc w:val="center"/>
        <w:rPr>
          <w:b/>
          <w:bCs/>
          <w:sz w:val="32"/>
          <w:szCs w:val="32"/>
        </w:rPr>
      </w:pPr>
      <w:r>
        <w:rPr>
          <w:b/>
          <w:bCs/>
          <w:sz w:val="32"/>
          <w:szCs w:val="32"/>
        </w:rPr>
        <w:t>THEMATIC REPORT</w:t>
      </w:r>
      <w:r w:rsidR="009F6A04">
        <w:rPr>
          <w:b/>
          <w:bCs/>
          <w:sz w:val="32"/>
          <w:szCs w:val="32"/>
        </w:rPr>
        <w:t>: ICCAS PROJECT</w:t>
      </w:r>
    </w:p>
    <w:p w14:paraId="389C2302" w14:textId="77777777" w:rsidR="008C3916" w:rsidRDefault="008C3916" w:rsidP="009F6A04">
      <w:pPr>
        <w:jc w:val="center"/>
        <w:rPr>
          <w:b/>
          <w:bCs/>
          <w:sz w:val="32"/>
          <w:szCs w:val="32"/>
        </w:rPr>
      </w:pPr>
    </w:p>
    <w:p w14:paraId="58F7D8FE" w14:textId="77777777" w:rsidR="009F6A04" w:rsidRDefault="00C84C5C" w:rsidP="009F6A04">
      <w:pPr>
        <w:spacing w:after="0"/>
        <w:jc w:val="center"/>
        <w:rPr>
          <w:b/>
          <w:sz w:val="28"/>
          <w:szCs w:val="28"/>
        </w:rPr>
      </w:pPr>
      <w:r w:rsidRPr="00C84C5C">
        <w:rPr>
          <w:b/>
          <w:bCs/>
          <w:sz w:val="32"/>
          <w:szCs w:val="32"/>
        </w:rPr>
        <w:t xml:space="preserve">Climate </w:t>
      </w:r>
      <w:r w:rsidR="00314357">
        <w:rPr>
          <w:b/>
          <w:bCs/>
          <w:sz w:val="32"/>
          <w:szCs w:val="32"/>
        </w:rPr>
        <w:t xml:space="preserve">Change Adaptation: </w:t>
      </w:r>
      <w:r>
        <w:rPr>
          <w:b/>
          <w:bCs/>
          <w:sz w:val="32"/>
          <w:szCs w:val="32"/>
        </w:rPr>
        <w:t>F</w:t>
      </w:r>
      <w:r w:rsidRPr="00C84C5C">
        <w:rPr>
          <w:b/>
          <w:bCs/>
          <w:sz w:val="32"/>
          <w:szCs w:val="32"/>
        </w:rPr>
        <w:t xml:space="preserve">inance </w:t>
      </w:r>
      <w:r>
        <w:rPr>
          <w:b/>
          <w:bCs/>
          <w:sz w:val="32"/>
          <w:szCs w:val="32"/>
        </w:rPr>
        <w:t>R</w:t>
      </w:r>
      <w:r w:rsidRPr="00C84C5C">
        <w:rPr>
          <w:b/>
          <w:bCs/>
          <w:sz w:val="32"/>
          <w:szCs w:val="32"/>
        </w:rPr>
        <w:t>eadiness</w:t>
      </w:r>
    </w:p>
    <w:p w14:paraId="374C7D3D" w14:textId="77777777" w:rsidR="009F6A04" w:rsidRDefault="009F6A04" w:rsidP="009F6A04">
      <w:pPr>
        <w:spacing w:after="0"/>
        <w:jc w:val="center"/>
        <w:rPr>
          <w:b/>
          <w:sz w:val="28"/>
          <w:szCs w:val="28"/>
        </w:rPr>
      </w:pPr>
    </w:p>
    <w:p w14:paraId="0C6D5565" w14:textId="77777777" w:rsidR="009F6A04" w:rsidRDefault="00A92307" w:rsidP="009F6A04">
      <w:pPr>
        <w:spacing w:after="0"/>
        <w:jc w:val="center"/>
        <w:rPr>
          <w:b/>
          <w:sz w:val="28"/>
          <w:szCs w:val="28"/>
        </w:rPr>
      </w:pPr>
      <w:r>
        <w:rPr>
          <w:b/>
          <w:noProof/>
          <w:sz w:val="28"/>
          <w:szCs w:val="28"/>
        </w:rPr>
        <mc:AlternateContent>
          <mc:Choice Requires="wps">
            <w:drawing>
              <wp:anchor distT="0" distB="0" distL="114300" distR="114300" simplePos="0" relativeHeight="251659775" behindDoc="0" locked="0" layoutInCell="1" allowOverlap="1" wp14:anchorId="1AB46AF3" wp14:editId="395F4F2D">
                <wp:simplePos x="0" y="0"/>
                <wp:positionH relativeFrom="column">
                  <wp:posOffset>1912620</wp:posOffset>
                </wp:positionH>
                <wp:positionV relativeFrom="paragraph">
                  <wp:posOffset>1778000</wp:posOffset>
                </wp:positionV>
                <wp:extent cx="472440" cy="129540"/>
                <wp:effectExtent l="0" t="0" r="22860" b="22860"/>
                <wp:wrapNone/>
                <wp:docPr id="8" name="Oval 8"/>
                <wp:cNvGraphicFramePr/>
                <a:graphic xmlns:a="http://schemas.openxmlformats.org/drawingml/2006/main">
                  <a:graphicData uri="http://schemas.microsoft.com/office/word/2010/wordprocessingShape">
                    <wps:wsp>
                      <wps:cNvSpPr/>
                      <wps:spPr>
                        <a:xfrm>
                          <a:off x="0" y="0"/>
                          <a:ext cx="472440" cy="12954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8A6A97" id="Oval 8" o:spid="_x0000_s1026" style="position:absolute;margin-left:150.6pt;margin-top:140pt;width:37.2pt;height:10.2pt;z-index:2516597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" filled="f" strokecolor="black [3200]" strokeweight="1pt">
                <v:stroke joinstyle="miter"/>
              </v:oval>
            </w:pict>
          </mc:Fallback>
        </mc:AlternateContent>
      </w:r>
      <w:r w:rsidRPr="00A92307">
        <w:rPr>
          <w:b/>
          <w:noProof/>
          <w:sz w:val="28"/>
          <w:szCs w:val="28"/>
        </w:rPr>
        <w:drawing>
          <wp:inline distT="0" distB="0" distL="0" distR="0" wp14:anchorId="077A724E" wp14:editId="7F7FCC29">
            <wp:extent cx="2839634" cy="2211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352" cy="2217717"/>
                    </a:xfrm>
                    <a:prstGeom prst="rect">
                      <a:avLst/>
                    </a:prstGeom>
                    <a:noFill/>
                    <a:ln>
                      <a:noFill/>
                    </a:ln>
                  </pic:spPr>
                </pic:pic>
              </a:graphicData>
            </a:graphic>
          </wp:inline>
        </w:drawing>
      </w:r>
      <w:r>
        <w:rPr>
          <w:b/>
          <w:noProof/>
          <w:sz w:val="28"/>
          <w:szCs w:val="28"/>
        </w:rPr>
        <w:t xml:space="preserve"> </w:t>
      </w:r>
      <w:r w:rsidR="006E79A7" w:rsidRPr="006E79A7">
        <w:rPr>
          <w:noProof/>
        </w:rPr>
        <w:drawing>
          <wp:inline distT="0" distB="0" distL="0" distR="0" wp14:anchorId="7895B321" wp14:editId="143E5F03">
            <wp:extent cx="2857500" cy="2164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500" cy="2164080"/>
                    </a:xfrm>
                    <a:prstGeom prst="rect">
                      <a:avLst/>
                    </a:prstGeom>
                  </pic:spPr>
                </pic:pic>
              </a:graphicData>
            </a:graphic>
          </wp:inline>
        </w:drawing>
      </w:r>
    </w:p>
    <w:p w14:paraId="5971BB10" w14:textId="77777777" w:rsidR="009F6A04" w:rsidRDefault="009F6A04" w:rsidP="009F6A04">
      <w:pPr>
        <w:spacing w:after="0"/>
        <w:jc w:val="center"/>
        <w:rPr>
          <w:b/>
          <w:sz w:val="28"/>
          <w:szCs w:val="28"/>
        </w:rPr>
      </w:pPr>
    </w:p>
    <w:p w14:paraId="7B223791" w14:textId="77777777" w:rsidR="009F6A04" w:rsidRDefault="009F6A04" w:rsidP="009F6A04">
      <w:pPr>
        <w:spacing w:after="0"/>
        <w:jc w:val="center"/>
        <w:rPr>
          <w:b/>
          <w:sz w:val="28"/>
          <w:szCs w:val="28"/>
        </w:rPr>
      </w:pPr>
    </w:p>
    <w:p w14:paraId="6ABA9EF3" w14:textId="77777777" w:rsidR="009F6A04" w:rsidRDefault="009F6A04" w:rsidP="009F6A04">
      <w:pPr>
        <w:spacing w:after="0"/>
        <w:jc w:val="center"/>
        <w:rPr>
          <w:b/>
          <w:sz w:val="28"/>
          <w:szCs w:val="28"/>
        </w:rPr>
      </w:pPr>
    </w:p>
    <w:p w14:paraId="1470B210" w14:textId="77777777" w:rsidR="009F6A04" w:rsidRDefault="009F6A04" w:rsidP="009F6A04">
      <w:pPr>
        <w:spacing w:after="0"/>
        <w:jc w:val="center"/>
        <w:rPr>
          <w:b/>
          <w:sz w:val="28"/>
          <w:szCs w:val="28"/>
        </w:rPr>
      </w:pPr>
    </w:p>
    <w:p w14:paraId="426BC4DD" w14:textId="77777777" w:rsidR="009F6A04" w:rsidRDefault="009F6A04" w:rsidP="009F6A04">
      <w:pPr>
        <w:spacing w:after="0"/>
        <w:jc w:val="center"/>
        <w:rPr>
          <w:b/>
          <w:sz w:val="28"/>
          <w:szCs w:val="28"/>
        </w:rPr>
      </w:pPr>
      <w:r>
        <w:rPr>
          <w:b/>
          <w:sz w:val="28"/>
          <w:szCs w:val="28"/>
        </w:rPr>
        <w:t xml:space="preserve">Submitted </w:t>
      </w:r>
    </w:p>
    <w:p w14:paraId="3B6C1CD7" w14:textId="77777777" w:rsidR="009F6A04" w:rsidRDefault="009F6A04" w:rsidP="009F6A04">
      <w:pPr>
        <w:jc w:val="center"/>
      </w:pPr>
      <w:r>
        <w:t>By</w:t>
      </w:r>
    </w:p>
    <w:p w14:paraId="3D9B33AE" w14:textId="77777777" w:rsidR="009F6A04" w:rsidRDefault="009F6A04" w:rsidP="009F6A04">
      <w:pPr>
        <w:spacing w:after="0"/>
        <w:jc w:val="center"/>
        <w:rPr>
          <w:b/>
          <w:sz w:val="28"/>
          <w:szCs w:val="28"/>
        </w:rPr>
      </w:pPr>
      <w:r>
        <w:rPr>
          <w:b/>
          <w:sz w:val="28"/>
          <w:szCs w:val="28"/>
        </w:rPr>
        <w:t>David A. Simmons</w:t>
      </w:r>
    </w:p>
    <w:p w14:paraId="061A704F" w14:textId="77777777" w:rsidR="009F6A04" w:rsidRDefault="009F6A04" w:rsidP="009F6A04">
      <w:pPr>
        <w:spacing w:after="0"/>
        <w:jc w:val="center"/>
      </w:pPr>
      <w:r>
        <w:t>92A Benjamin St., Diego Martin</w:t>
      </w:r>
    </w:p>
    <w:p w14:paraId="3F532EDC" w14:textId="77777777" w:rsidR="009F6A04" w:rsidRDefault="009F6A04" w:rsidP="009F6A04">
      <w:pPr>
        <w:jc w:val="center"/>
      </w:pPr>
      <w:r>
        <w:t>Trinidad and Tobago</w:t>
      </w:r>
    </w:p>
    <w:p w14:paraId="5D5C9502" w14:textId="77777777" w:rsidR="009F6A04" w:rsidRPr="009F6A04" w:rsidRDefault="009F6A04" w:rsidP="009F6A04">
      <w:pPr>
        <w:jc w:val="center"/>
        <w:rPr>
          <w:b/>
        </w:rPr>
        <w:sectPr w:rsidR="009F6A04" w:rsidRPr="009F6A04" w:rsidSect="008A1A30">
          <w:footerReference w:type="default" r:id="rId14"/>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5" w:history="1">
        <w:r>
          <w:rPr>
            <w:rStyle w:val="Hyperlink"/>
            <w:b/>
          </w:rPr>
          <w:t>davidAsimmons@outlook.com</w:t>
        </w:r>
      </w:hyperlink>
    </w:p>
    <w:tbl>
      <w:tblPr>
        <w:tblStyle w:val="TableGrid"/>
        <w:tblW w:w="0" w:type="auto"/>
        <w:tblLook w:val="04A0" w:firstRow="1" w:lastRow="0" w:firstColumn="1" w:lastColumn="0" w:noHBand="0" w:noVBand="1"/>
      </w:tblPr>
      <w:tblGrid>
        <w:gridCol w:w="3055"/>
        <w:gridCol w:w="2880"/>
        <w:gridCol w:w="1350"/>
        <w:gridCol w:w="2611"/>
      </w:tblGrid>
      <w:tr w:rsidR="00F24233" w14:paraId="3633AC5B" w14:textId="77777777" w:rsidTr="00547148">
        <w:tc>
          <w:tcPr>
            <w:tcW w:w="9896" w:type="dxa"/>
            <w:gridSpan w:val="4"/>
          </w:tcPr>
          <w:p w14:paraId="43CD4DEF"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18BE9585" w14:textId="77777777" w:rsidTr="00547148">
        <w:tc>
          <w:tcPr>
            <w:tcW w:w="5935" w:type="dxa"/>
            <w:gridSpan w:val="2"/>
          </w:tcPr>
          <w:p w14:paraId="7767F36D" w14:textId="453BA8A3" w:rsidR="00F24233" w:rsidRPr="00522C59" w:rsidRDefault="00B02FE9" w:rsidP="00F24233">
            <w:pPr>
              <w:pStyle w:val="Default"/>
              <w:rPr>
                <w:b/>
                <w:bCs/>
                <w:sz w:val="22"/>
                <w:szCs w:val="22"/>
              </w:rPr>
            </w:pPr>
            <w:r w:rsidRPr="00522C59">
              <w:rPr>
                <w:b/>
                <w:bCs/>
                <w:sz w:val="22"/>
                <w:szCs w:val="22"/>
              </w:rPr>
              <w:t>Thematic Area</w:t>
            </w:r>
            <w:r w:rsidR="00F24233" w:rsidRPr="00522C59">
              <w:rPr>
                <w:b/>
                <w:bCs/>
                <w:sz w:val="22"/>
                <w:szCs w:val="22"/>
              </w:rPr>
              <w:t>:</w:t>
            </w:r>
            <w:r w:rsidR="00194546" w:rsidRPr="00522C59">
              <w:rPr>
                <w:b/>
                <w:bCs/>
                <w:sz w:val="22"/>
                <w:szCs w:val="22"/>
              </w:rPr>
              <w:t xml:space="preserve"> </w:t>
            </w:r>
            <w:r w:rsidR="00EB0FC3">
              <w:rPr>
                <w:b/>
                <w:bCs/>
                <w:sz w:val="22"/>
                <w:szCs w:val="22"/>
              </w:rPr>
              <w:t>Climate Finance Readiness</w:t>
            </w:r>
          </w:p>
        </w:tc>
        <w:tc>
          <w:tcPr>
            <w:tcW w:w="3961" w:type="dxa"/>
            <w:gridSpan w:val="2"/>
          </w:tcPr>
          <w:p w14:paraId="69F28AAA"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1B840C6E" w14:textId="77777777" w:rsidTr="00547148">
        <w:tc>
          <w:tcPr>
            <w:tcW w:w="9896" w:type="dxa"/>
            <w:gridSpan w:val="4"/>
          </w:tcPr>
          <w:p w14:paraId="627AC929"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2AFD95FD" w14:textId="77777777" w:rsidTr="00522C59">
        <w:tc>
          <w:tcPr>
            <w:tcW w:w="3055" w:type="dxa"/>
          </w:tcPr>
          <w:p w14:paraId="33DD85F8"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230" w:type="dxa"/>
            <w:gridSpan w:val="2"/>
          </w:tcPr>
          <w:p w14:paraId="546942CD" w14:textId="77777777" w:rsidR="00F24233" w:rsidRPr="00A34A9B" w:rsidRDefault="00A34A9B" w:rsidP="00F24233">
            <w:pPr>
              <w:ind w:right="75"/>
              <w:rPr>
                <w:bCs/>
              </w:rPr>
            </w:pPr>
            <w:r w:rsidRPr="00A34A9B">
              <w:rPr>
                <w:bCs/>
              </w:rPr>
              <w:t>The Environment Unit of the Ministry of Agriculture, Lands, Forestry, Fisheries and the Environment</w:t>
            </w:r>
          </w:p>
        </w:tc>
        <w:tc>
          <w:tcPr>
            <w:tcW w:w="2611" w:type="dxa"/>
          </w:tcPr>
          <w:p w14:paraId="653485CA" w14:textId="77777777" w:rsidR="00F24233" w:rsidRPr="00522C59" w:rsidRDefault="00F24233" w:rsidP="00F24233">
            <w:pPr>
              <w:ind w:right="76"/>
              <w:rPr>
                <w:b/>
                <w:bCs/>
              </w:rPr>
            </w:pPr>
            <w:r w:rsidRPr="00522C59">
              <w:t>German Development Cooperation (GIZ)</w:t>
            </w:r>
            <w:r w:rsidR="00F3302A" w:rsidRPr="00522C59">
              <w:t>, BMUB</w:t>
            </w:r>
          </w:p>
        </w:tc>
      </w:tr>
    </w:tbl>
    <w:tbl>
      <w:tblPr>
        <w:tblStyle w:val="TableGrid1"/>
        <w:tblW w:w="0" w:type="auto"/>
        <w:tblLook w:val="04A0" w:firstRow="1" w:lastRow="0" w:firstColumn="1" w:lastColumn="0" w:noHBand="0" w:noVBand="1"/>
      </w:tblPr>
      <w:tblGrid>
        <w:gridCol w:w="2418"/>
        <w:gridCol w:w="7478"/>
      </w:tblGrid>
      <w:tr w:rsidR="00B02FE9" w:rsidRPr="00B02FE9" w14:paraId="39ABDE35" w14:textId="77777777" w:rsidTr="00A92CC6">
        <w:tc>
          <w:tcPr>
            <w:tcW w:w="2418" w:type="dxa"/>
          </w:tcPr>
          <w:p w14:paraId="5D6FCB32" w14:textId="77777777" w:rsidR="00B02FE9" w:rsidRPr="00522C59" w:rsidRDefault="00B02FE9" w:rsidP="005117C6">
            <w:pPr>
              <w:spacing w:line="259" w:lineRule="auto"/>
              <w:rPr>
                <w:b/>
              </w:rPr>
            </w:pPr>
            <w:r w:rsidRPr="00522C59">
              <w:rPr>
                <w:b/>
              </w:rPr>
              <w:t>Context</w:t>
            </w:r>
          </w:p>
        </w:tc>
        <w:tc>
          <w:tcPr>
            <w:tcW w:w="7478" w:type="dxa"/>
          </w:tcPr>
          <w:p w14:paraId="0542C0D8" w14:textId="77777777" w:rsidR="00366488" w:rsidRPr="00366488" w:rsidRDefault="00366488" w:rsidP="00366488">
            <w:pPr>
              <w:spacing w:after="120"/>
              <w:jc w:val="both"/>
              <w:rPr>
                <w:bCs/>
                <w:sz w:val="24"/>
                <w:szCs w:val="24"/>
              </w:rPr>
            </w:pPr>
            <w:r w:rsidRPr="00366488">
              <w:rPr>
                <w:bCs/>
                <w:sz w:val="24"/>
                <w:szCs w:val="24"/>
              </w:rPr>
              <w:t>Grenada contributes comparatively little to global warming in absolute terms but the small developing island state is greatly affected by changes in climate patterns and their consequences. The negative impacts of climate change form an additional financial burden for the tri-island state which affects its economic and social development. The Government of Grenada has committed to climate protection and to adaptation to climate change, while being cautious of not diverting scarce local resources from ongoing development priorities like education, health and social development.</w:t>
            </w:r>
          </w:p>
          <w:p w14:paraId="6CECC0B5" w14:textId="71CF9C11" w:rsidR="00366488" w:rsidRPr="00366488" w:rsidRDefault="00366488" w:rsidP="00366488">
            <w:pPr>
              <w:jc w:val="both"/>
              <w:rPr>
                <w:bCs/>
                <w:sz w:val="24"/>
                <w:szCs w:val="24"/>
              </w:rPr>
            </w:pPr>
            <w:r w:rsidRPr="00366488">
              <w:rPr>
                <w:bCs/>
                <w:sz w:val="24"/>
                <w:szCs w:val="24"/>
              </w:rPr>
              <w:t xml:space="preserve">A central element of the ICCAS Programme was </w:t>
            </w:r>
            <w:r w:rsidR="00B52FCF" w:rsidRPr="00366488">
              <w:rPr>
                <w:bCs/>
                <w:sz w:val="24"/>
                <w:szCs w:val="24"/>
              </w:rPr>
              <w:t xml:space="preserve">Component 4 </w:t>
            </w:r>
            <w:r w:rsidR="00B52FCF">
              <w:rPr>
                <w:bCs/>
                <w:sz w:val="24"/>
                <w:szCs w:val="24"/>
              </w:rPr>
              <w:t>“</w:t>
            </w:r>
            <w:r w:rsidR="00B52FCF" w:rsidRPr="00366488">
              <w:rPr>
                <w:bCs/>
                <w:sz w:val="24"/>
                <w:szCs w:val="24"/>
              </w:rPr>
              <w:t>Capacity to access climate finance and knowledge management</w:t>
            </w:r>
            <w:r w:rsidR="00B52FCF">
              <w:rPr>
                <w:bCs/>
                <w:sz w:val="24"/>
                <w:szCs w:val="24"/>
              </w:rPr>
              <w:t xml:space="preserve">” which sought </w:t>
            </w:r>
            <w:r w:rsidRPr="00366488">
              <w:rPr>
                <w:bCs/>
                <w:sz w:val="24"/>
                <w:szCs w:val="24"/>
              </w:rPr>
              <w:t>to strengthen Grenada’s capacity to access climate finance, by supporting a more integrated approach to climate change that will help to attract financing for climate resilient practices, and by direct assistance to access and absorb sufficient finance for activities to build climate resilience and increase the usage of renewable energy.</w:t>
            </w:r>
          </w:p>
          <w:p w14:paraId="5605DAE8" w14:textId="1176E481" w:rsidR="00DB22F6" w:rsidRPr="00366488" w:rsidRDefault="00DB22F6" w:rsidP="00366488">
            <w:pPr>
              <w:jc w:val="both"/>
              <w:rPr>
                <w:bCs/>
                <w:sz w:val="24"/>
                <w:szCs w:val="24"/>
              </w:rPr>
            </w:pPr>
          </w:p>
        </w:tc>
      </w:tr>
      <w:tr w:rsidR="00B02FE9" w:rsidRPr="00B02FE9" w14:paraId="2FD3DA61" w14:textId="77777777" w:rsidTr="00735635">
        <w:tc>
          <w:tcPr>
            <w:tcW w:w="2418" w:type="dxa"/>
            <w:tcBorders>
              <w:bottom w:val="single" w:sz="4" w:space="0" w:color="auto"/>
            </w:tcBorders>
          </w:tcPr>
          <w:p w14:paraId="11786EA0" w14:textId="0EB2A6F8" w:rsidR="00B02FE9" w:rsidRPr="00522C59" w:rsidRDefault="00CA3E06" w:rsidP="00B02FE9">
            <w:pPr>
              <w:spacing w:line="259" w:lineRule="auto"/>
              <w:rPr>
                <w:b/>
              </w:rPr>
            </w:pPr>
            <w:r>
              <w:rPr>
                <w:b/>
              </w:rPr>
              <w:t>Background</w:t>
            </w:r>
          </w:p>
        </w:tc>
        <w:tc>
          <w:tcPr>
            <w:tcW w:w="7478" w:type="dxa"/>
            <w:tcBorders>
              <w:bottom w:val="single" w:sz="4" w:space="0" w:color="auto"/>
            </w:tcBorders>
          </w:tcPr>
          <w:p w14:paraId="1AB86A54" w14:textId="4760BCFD" w:rsidR="00B02FE9" w:rsidRPr="00366488" w:rsidRDefault="00366488" w:rsidP="006811A8">
            <w:pPr>
              <w:pStyle w:val="Default"/>
              <w:spacing w:after="120"/>
              <w:jc w:val="both"/>
            </w:pPr>
            <w:r w:rsidRPr="00366488">
              <w:rPr>
                <w:bCs/>
              </w:rPr>
              <w:t xml:space="preserve">At the commencement of the ICCAS project the Government of Grenada had little experience in attracting climate finance or preparing proposals for large projects that will enable Grenada to access international climate change finance.  This, therefore, hampered the Government´s ability to effectively acquire resources for urgent adaptation needs.   In that regard, the country sought and obtained assistance from the German Government and through GIZ, a recognized delivery partner for the Green Climate Fund (GCF), prepared and provided a Climate Readiness and Preparatory Support programme which provided training in the requisite </w:t>
            </w:r>
            <w:r w:rsidRPr="00366488">
              <w:t>legal, policy and institutional framework as well as the building of human resource expertise that would enable the country to achieve climate finance readiness. The</w:t>
            </w:r>
            <w:r>
              <w:t xml:space="preserve"> preparation of the</w:t>
            </w:r>
            <w:r w:rsidRPr="00366488">
              <w:t xml:space="preserve"> National Adaptation Plan (NAP), which has been </w:t>
            </w:r>
            <w:r>
              <w:t xml:space="preserve">the vehicle through which </w:t>
            </w:r>
            <w:r w:rsidRPr="00366488">
              <w:t xml:space="preserve">the “mainstreaming” </w:t>
            </w:r>
            <w:r>
              <w:t xml:space="preserve">of climate change adaptation was pursued, also became </w:t>
            </w:r>
            <w:r w:rsidRPr="00366488">
              <w:t>Grenada’s main mechanisms for accessing external climate financing as it outlines the key areas of action needed to be taken to tackle the negative impacts of climate change.</w:t>
            </w:r>
            <w:r w:rsidRPr="00366488">
              <w:rPr>
                <w:bCs/>
              </w:rPr>
              <w:t xml:space="preserve"> This framework provides the basis for approaching other development agencies with a commitment to climate change, to access both grant and loan funding for projects with climate adaptation and resilience building components.</w:t>
            </w:r>
            <w:r w:rsidR="00700C0A" w:rsidRPr="00366488">
              <w:rPr>
                <w:bCs/>
              </w:rPr>
              <w:t xml:space="preserve"> </w:t>
            </w:r>
          </w:p>
        </w:tc>
      </w:tr>
    </w:tbl>
    <w:p w14:paraId="1E0BA850" w14:textId="77777777" w:rsidR="002176EC" w:rsidRDefault="002176EC">
      <w:pPr>
        <w:rPr>
          <w:rFonts w:ascii="Calibri" w:hAnsi="Calibri" w:cs="Calibri"/>
          <w:b/>
          <w:color w:val="000000"/>
          <w:sz w:val="24"/>
          <w:szCs w:val="24"/>
        </w:rPr>
      </w:pPr>
    </w:p>
    <w:p w14:paraId="10F77763" w14:textId="77777777" w:rsidR="00366488" w:rsidRDefault="00366488" w:rsidP="002864F8">
      <w:pPr>
        <w:pStyle w:val="Default"/>
        <w:rPr>
          <w:b/>
        </w:rPr>
        <w:sectPr w:rsidR="00366488" w:rsidSect="00366488">
          <w:pgSz w:w="12240" w:h="16340"/>
          <w:pgMar w:top="1440" w:right="1008" w:bottom="1440" w:left="1008" w:header="720" w:footer="720" w:gutter="0"/>
          <w:pgNumType w:fmt="numberInDash" w:start="1"/>
          <w:cols w:space="720"/>
          <w:noEndnote/>
          <w:docGrid w:linePitch="299"/>
        </w:sectPr>
      </w:pPr>
    </w:p>
    <w:p w14:paraId="3BDB2127" w14:textId="77777777" w:rsidR="00366488" w:rsidRDefault="00366488" w:rsidP="0050734B">
      <w:pPr>
        <w:pStyle w:val="Default"/>
        <w:jc w:val="both"/>
        <w:rPr>
          <w:b/>
        </w:rPr>
      </w:pPr>
      <w:bookmarkStart w:id="0" w:name="_Hlk513559519"/>
    </w:p>
    <w:p w14:paraId="71A92F6D" w14:textId="77777777" w:rsidR="00366488" w:rsidRDefault="00366488" w:rsidP="0050734B">
      <w:pPr>
        <w:pStyle w:val="Default"/>
        <w:jc w:val="both"/>
        <w:rPr>
          <w:b/>
        </w:rPr>
      </w:pPr>
    </w:p>
    <w:p w14:paraId="2D5FD27B" w14:textId="5F8AFA17" w:rsidR="0050734B" w:rsidRPr="0050734B" w:rsidRDefault="0050734B" w:rsidP="0050734B">
      <w:pPr>
        <w:pStyle w:val="Default"/>
        <w:jc w:val="both"/>
        <w:rPr>
          <w:b/>
        </w:rPr>
      </w:pPr>
      <w:r w:rsidRPr="0050734B">
        <w:rPr>
          <w:b/>
        </w:rPr>
        <w:lastRenderedPageBreak/>
        <w:t>Overall Success:</w:t>
      </w:r>
    </w:p>
    <w:p w14:paraId="0D2E22D0" w14:textId="630CE90B" w:rsidR="006811A8" w:rsidRDefault="00D954B1" w:rsidP="00366488">
      <w:pPr>
        <w:pStyle w:val="Default"/>
        <w:jc w:val="both"/>
      </w:pPr>
      <w:r>
        <w:t xml:space="preserve">Several activities have been undertaken to help Grenada </w:t>
      </w:r>
      <w:r w:rsidR="006811A8">
        <w:t xml:space="preserve">achieve its objectives regarding access to climate finance </w:t>
      </w:r>
      <w:r>
        <w:t xml:space="preserve">access </w:t>
      </w:r>
      <w:r w:rsidR="006811A8">
        <w:t xml:space="preserve">and achieve climate finance readiness.  </w:t>
      </w:r>
      <w:r w:rsidR="00366488" w:rsidRPr="00ED1109">
        <w:rPr>
          <w:noProof/>
        </w:rPr>
        <w:drawing>
          <wp:anchor distT="0" distB="0" distL="114300" distR="114300" simplePos="0" relativeHeight="251672576" behindDoc="0" locked="0" layoutInCell="1" allowOverlap="1" wp14:anchorId="1590C8D1" wp14:editId="238EB791">
            <wp:simplePos x="0" y="0"/>
            <wp:positionH relativeFrom="margin">
              <wp:posOffset>-437563</wp:posOffset>
            </wp:positionH>
            <wp:positionV relativeFrom="margin">
              <wp:posOffset>228600</wp:posOffset>
            </wp:positionV>
            <wp:extent cx="3762375" cy="52673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762375" cy="5267325"/>
                    </a:xfrm>
                    <a:prstGeom prst="rect">
                      <a:avLst/>
                    </a:prstGeom>
                  </pic:spPr>
                </pic:pic>
              </a:graphicData>
            </a:graphic>
            <wp14:sizeRelH relativeFrom="margin">
              <wp14:pctWidth>0</wp14:pctWidth>
            </wp14:sizeRelH>
            <wp14:sizeRelV relativeFrom="margin">
              <wp14:pctHeight>0</wp14:pctHeight>
            </wp14:sizeRelV>
          </wp:anchor>
        </w:drawing>
      </w:r>
    </w:p>
    <w:p w14:paraId="488AB2C2" w14:textId="1D64E13C" w:rsidR="00D954B1" w:rsidRDefault="006811A8" w:rsidP="0050734B">
      <w:pPr>
        <w:pStyle w:val="Default"/>
        <w:jc w:val="both"/>
      </w:pPr>
      <w:r>
        <w:t>These included:</w:t>
      </w:r>
    </w:p>
    <w:p w14:paraId="07D1E41C" w14:textId="62DF1725" w:rsidR="00366488" w:rsidRDefault="00366488" w:rsidP="00B52FCF">
      <w:pPr>
        <w:pStyle w:val="Default"/>
        <w:numPr>
          <w:ilvl w:val="0"/>
          <w:numId w:val="35"/>
        </w:numPr>
        <w:spacing w:after="80"/>
        <w:ind w:left="547" w:hanging="270"/>
        <w:jc w:val="both"/>
      </w:pPr>
      <w:r>
        <w:t xml:space="preserve">Preparation of the National Adaptation Plan (NAP) the vehicle through which the mainstreaming of climate adaptation and resilience is outlined and </w:t>
      </w:r>
      <w:r w:rsidRPr="006811A8">
        <w:t>outlines the key areas of action needed to be taken to tackle the negative impacts of climate change</w:t>
      </w:r>
      <w:r>
        <w:t>.</w:t>
      </w:r>
    </w:p>
    <w:p w14:paraId="01D6D857" w14:textId="1DF62ABA" w:rsidR="006811A8" w:rsidRDefault="006811A8" w:rsidP="00B52FCF">
      <w:pPr>
        <w:pStyle w:val="Default"/>
        <w:numPr>
          <w:ilvl w:val="0"/>
          <w:numId w:val="35"/>
        </w:numPr>
        <w:spacing w:after="80"/>
        <w:ind w:left="547" w:hanging="270"/>
        <w:jc w:val="both"/>
      </w:pPr>
      <w:r w:rsidRPr="006811A8">
        <w:t>Prepar</w:t>
      </w:r>
      <w:r>
        <w:t xml:space="preserve">ing the </w:t>
      </w:r>
      <w:r w:rsidRPr="006811A8">
        <w:t xml:space="preserve">country’s legal, policy and institutional framework as well as the building of human resource expertise that would </w:t>
      </w:r>
      <w:r>
        <w:t xml:space="preserve">enable the country to </w:t>
      </w:r>
      <w:r w:rsidRPr="006811A8">
        <w:t>achieve climate finance readiness.</w:t>
      </w:r>
    </w:p>
    <w:p w14:paraId="0BF8A0CF" w14:textId="239DB3D6" w:rsidR="00CE3BAB" w:rsidRDefault="00CE3BAB" w:rsidP="00B52FCF">
      <w:pPr>
        <w:pStyle w:val="Default"/>
        <w:numPr>
          <w:ilvl w:val="0"/>
          <w:numId w:val="35"/>
        </w:numPr>
        <w:spacing w:after="80"/>
        <w:ind w:left="547"/>
        <w:jc w:val="both"/>
      </w:pPr>
      <w:r>
        <w:t>Providing capacity enhancement</w:t>
      </w:r>
      <w:r w:rsidR="00D91690">
        <w:t xml:space="preserve">: </w:t>
      </w:r>
      <w:r>
        <w:t xml:space="preserve">Training for private sector </w:t>
      </w:r>
      <w:r w:rsidR="00D91690">
        <w:t xml:space="preserve">on </w:t>
      </w:r>
      <w:r>
        <w:t xml:space="preserve">accessing climate finance – </w:t>
      </w:r>
      <w:r w:rsidR="00D954B1">
        <w:t>F</w:t>
      </w:r>
      <w:r>
        <w:t>eb 2018</w:t>
      </w:r>
      <w:r w:rsidR="00B23D48">
        <w:t>.</w:t>
      </w:r>
    </w:p>
    <w:p w14:paraId="5C3DE0FE" w14:textId="7676E199" w:rsidR="00CE3BAB" w:rsidRDefault="00D91690" w:rsidP="00B52FCF">
      <w:pPr>
        <w:pStyle w:val="Default"/>
        <w:numPr>
          <w:ilvl w:val="0"/>
          <w:numId w:val="35"/>
        </w:numPr>
        <w:spacing w:after="80"/>
        <w:ind w:left="547"/>
        <w:jc w:val="both"/>
      </w:pPr>
      <w:r>
        <w:t xml:space="preserve">Public Sector training in </w:t>
      </w:r>
      <w:r w:rsidR="00CE3BAB">
        <w:t xml:space="preserve">2016 – </w:t>
      </w:r>
      <w:r w:rsidR="00FF5F10">
        <w:t xml:space="preserve">20 </w:t>
      </w:r>
      <w:r w:rsidR="00CE3BAB">
        <w:t xml:space="preserve">public officers and </w:t>
      </w:r>
      <w:r>
        <w:t xml:space="preserve">NGO personnel trained on </w:t>
      </w:r>
      <w:r w:rsidR="00B23D48">
        <w:t xml:space="preserve">accessing funds from the </w:t>
      </w:r>
      <w:r>
        <w:t>Green Climate Fund</w:t>
      </w:r>
      <w:r w:rsidR="00B23D48">
        <w:t xml:space="preserve"> (GCF).</w:t>
      </w:r>
    </w:p>
    <w:p w14:paraId="4CED482A" w14:textId="76195D29" w:rsidR="00D91690" w:rsidRDefault="00D91690" w:rsidP="00B52FCF">
      <w:pPr>
        <w:pStyle w:val="Default"/>
        <w:numPr>
          <w:ilvl w:val="0"/>
          <w:numId w:val="35"/>
        </w:numPr>
        <w:spacing w:after="80"/>
        <w:ind w:left="547"/>
        <w:jc w:val="both"/>
      </w:pPr>
      <w:r>
        <w:t>Mentoring – public sector officials and relevant agencies (Grenada Development Bank etc) shadow consultants</w:t>
      </w:r>
      <w:r w:rsidR="00B23D48">
        <w:t>.</w:t>
      </w:r>
    </w:p>
    <w:p w14:paraId="45F64F92" w14:textId="4E551A67" w:rsidR="00CE3BAB" w:rsidRDefault="00CE3BAB" w:rsidP="00B52FCF">
      <w:pPr>
        <w:pStyle w:val="Default"/>
        <w:numPr>
          <w:ilvl w:val="0"/>
          <w:numId w:val="35"/>
        </w:numPr>
        <w:spacing w:after="80"/>
        <w:ind w:left="547"/>
        <w:jc w:val="both"/>
      </w:pPr>
      <w:r>
        <w:t xml:space="preserve">Accrediting the </w:t>
      </w:r>
      <w:r w:rsidR="00D954B1">
        <w:t>Grenada Development Bank</w:t>
      </w:r>
      <w:r w:rsidR="00D91690">
        <w:t xml:space="preserve"> (GDB)</w:t>
      </w:r>
      <w:r w:rsidR="00D954B1">
        <w:t xml:space="preserve"> to be the National entity responsible for accessing and disbursing international funds</w:t>
      </w:r>
      <w:r w:rsidR="00D91690">
        <w:t xml:space="preserve"> through review and improvement of internal processes</w:t>
      </w:r>
      <w:r w:rsidR="00D954B1">
        <w:t>. This is close to being accomplished</w:t>
      </w:r>
      <w:r w:rsidR="00B23D48">
        <w:t>.</w:t>
      </w:r>
    </w:p>
    <w:p w14:paraId="75A416F6" w14:textId="77777777" w:rsidR="006811A8" w:rsidRDefault="006811A8" w:rsidP="0050734B">
      <w:pPr>
        <w:pStyle w:val="Default"/>
        <w:numPr>
          <w:ilvl w:val="0"/>
          <w:numId w:val="35"/>
        </w:numPr>
        <w:ind w:left="540"/>
        <w:jc w:val="both"/>
      </w:pPr>
      <w:r>
        <w:t>Institutionalising the Community Climate Change Adaptation Fund to provide opportunities for local communities to increase their resilience to climate change.</w:t>
      </w:r>
    </w:p>
    <w:p w14:paraId="0F45BA6D" w14:textId="77777777" w:rsidR="006811A8" w:rsidRDefault="006811A8" w:rsidP="0050734B">
      <w:pPr>
        <w:pStyle w:val="Default"/>
        <w:ind w:left="720"/>
        <w:jc w:val="both"/>
        <w:sectPr w:rsidR="006811A8" w:rsidSect="0050734B">
          <w:type w:val="continuous"/>
          <w:pgSz w:w="12240" w:h="16340"/>
          <w:pgMar w:top="1440" w:right="1008" w:bottom="1440" w:left="1008" w:header="720" w:footer="720" w:gutter="0"/>
          <w:pgNumType w:fmt="numberInDash"/>
          <w:cols w:num="2" w:space="720"/>
          <w:noEndnote/>
          <w:docGrid w:linePitch="299"/>
        </w:sectPr>
      </w:pPr>
    </w:p>
    <w:p w14:paraId="26511D22" w14:textId="0439178F" w:rsidR="006811A8" w:rsidRDefault="006811A8" w:rsidP="0050734B">
      <w:pPr>
        <w:pStyle w:val="Default"/>
        <w:jc w:val="both"/>
      </w:pPr>
    </w:p>
    <w:p w14:paraId="1D498891" w14:textId="6C2EDF4E" w:rsidR="006811A8" w:rsidRDefault="006811A8" w:rsidP="0050734B">
      <w:pPr>
        <w:pStyle w:val="Default"/>
        <w:jc w:val="both"/>
      </w:pPr>
    </w:p>
    <w:p w14:paraId="3B740B77" w14:textId="77777777" w:rsidR="006811A8" w:rsidRDefault="006811A8" w:rsidP="0050734B">
      <w:pPr>
        <w:pStyle w:val="Default"/>
        <w:jc w:val="both"/>
        <w:sectPr w:rsidR="006811A8" w:rsidSect="006811A8">
          <w:type w:val="continuous"/>
          <w:pgSz w:w="12240" w:h="16340"/>
          <w:pgMar w:top="720" w:right="720" w:bottom="720" w:left="142" w:header="720" w:footer="720" w:gutter="0"/>
          <w:cols w:num="2" w:space="720"/>
          <w:noEndnote/>
          <w:docGrid w:linePitch="299"/>
        </w:sectPr>
      </w:pPr>
    </w:p>
    <w:p w14:paraId="6D60B8C5" w14:textId="22F7A9DA" w:rsidR="006811A8" w:rsidRPr="00301B1E" w:rsidRDefault="006811A8" w:rsidP="0050734B">
      <w:pPr>
        <w:spacing w:after="0"/>
        <w:jc w:val="both"/>
        <w:rPr>
          <w:rFonts w:ascii="Calibri" w:hAnsi="Calibri" w:cs="Calibri"/>
          <w:b/>
          <w:color w:val="000000"/>
          <w:sz w:val="24"/>
          <w:szCs w:val="24"/>
        </w:rPr>
      </w:pPr>
      <w:r w:rsidRPr="006D7DC8">
        <w:rPr>
          <w:b/>
          <w:sz w:val="24"/>
          <w:szCs w:val="24"/>
        </w:rPr>
        <w:t>Overall Success</w:t>
      </w:r>
      <w:r w:rsidR="00366488">
        <w:rPr>
          <w:b/>
          <w:sz w:val="24"/>
          <w:szCs w:val="24"/>
        </w:rPr>
        <w:t>:</w:t>
      </w:r>
    </w:p>
    <w:p w14:paraId="329D5321" w14:textId="69013B17" w:rsidR="006811A8" w:rsidRPr="00301B1E" w:rsidRDefault="006811A8" w:rsidP="0050734B">
      <w:pPr>
        <w:pStyle w:val="Default"/>
        <w:jc w:val="both"/>
      </w:pPr>
      <w:r>
        <w:t>With support from the GIZ Project team a</w:t>
      </w:r>
      <w:r w:rsidRPr="006811A8">
        <w:t xml:space="preserve"> Climate Finance Readiness Action Plan </w:t>
      </w:r>
      <w:r w:rsidR="0050734B">
        <w:t>was</w:t>
      </w:r>
      <w:r w:rsidRPr="006811A8">
        <w:t xml:space="preserve"> developed</w:t>
      </w:r>
      <w:r>
        <w:t xml:space="preserve"> and several steps were taken to access funds from international institutions.  These involved the establishment of the </w:t>
      </w:r>
    </w:p>
    <w:p w14:paraId="588AF2AD" w14:textId="77777777" w:rsidR="006811A8" w:rsidRDefault="006811A8" w:rsidP="00B52FCF">
      <w:pPr>
        <w:pStyle w:val="Default"/>
        <w:numPr>
          <w:ilvl w:val="0"/>
          <w:numId w:val="32"/>
        </w:numPr>
        <w:spacing w:after="80"/>
        <w:jc w:val="both"/>
      </w:pPr>
      <w:r>
        <w:t>A</w:t>
      </w:r>
      <w:r w:rsidRPr="00301B1E">
        <w:t xml:space="preserve"> Climate Finance Readiness Action Plan was developed;</w:t>
      </w:r>
    </w:p>
    <w:p w14:paraId="658CC0F2" w14:textId="20E0F934" w:rsidR="006811A8" w:rsidRPr="002864F8" w:rsidRDefault="00B23D48" w:rsidP="00B52FCF">
      <w:pPr>
        <w:pStyle w:val="Default"/>
        <w:numPr>
          <w:ilvl w:val="0"/>
          <w:numId w:val="32"/>
        </w:numPr>
        <w:spacing w:after="80"/>
        <w:jc w:val="both"/>
        <w:rPr>
          <w:b/>
        </w:rPr>
      </w:pPr>
      <w:r>
        <w:t>T</w:t>
      </w:r>
      <w:r w:rsidR="006811A8" w:rsidRPr="00301B1E">
        <w:t xml:space="preserve">he NDA for the Green Climate Fund (GCF) was established, and </w:t>
      </w:r>
    </w:p>
    <w:p w14:paraId="63D2E58B" w14:textId="5B31A429" w:rsidR="006811A8" w:rsidRPr="006811A8" w:rsidRDefault="006811A8" w:rsidP="00B52FCF">
      <w:pPr>
        <w:pStyle w:val="Default"/>
        <w:numPr>
          <w:ilvl w:val="0"/>
          <w:numId w:val="32"/>
        </w:numPr>
        <w:spacing w:after="80"/>
        <w:jc w:val="both"/>
        <w:rPr>
          <w:b/>
        </w:rPr>
      </w:pPr>
      <w:r w:rsidRPr="00301B1E">
        <w:t xml:space="preserve">continuous support on capacity building was provided through training of several persons in the public sector. </w:t>
      </w:r>
    </w:p>
    <w:p w14:paraId="66EE38B6" w14:textId="3F7ACCF2" w:rsidR="00B52FCF" w:rsidRDefault="006811A8" w:rsidP="000C292A">
      <w:pPr>
        <w:pStyle w:val="Default"/>
        <w:numPr>
          <w:ilvl w:val="0"/>
          <w:numId w:val="32"/>
        </w:numPr>
        <w:spacing w:after="80"/>
        <w:jc w:val="both"/>
      </w:pPr>
      <w:r w:rsidRPr="006811A8">
        <w:lastRenderedPageBreak/>
        <w:t>Grenada has also received support from the Caribbean Climate Finance Readiness Programme for the assessment of its state of climate finance readiness, capacity building measures as well as in-depth gap analysis for potential National Implementing Entities to be accredited with the Green Climate Fund.</w:t>
      </w:r>
    </w:p>
    <w:p w14:paraId="4CE89D2C" w14:textId="77777777" w:rsidR="00B52FCF" w:rsidRDefault="00B52FCF" w:rsidP="0050734B">
      <w:pPr>
        <w:pStyle w:val="Default"/>
        <w:jc w:val="both"/>
      </w:pPr>
    </w:p>
    <w:p w14:paraId="2CBCF956" w14:textId="2FE70647" w:rsidR="006811A8" w:rsidRDefault="006811A8" w:rsidP="0050734B">
      <w:pPr>
        <w:pStyle w:val="Default"/>
        <w:jc w:val="both"/>
      </w:pPr>
      <w:r>
        <w:t>These initiatives have borne fruit with the approval of:</w:t>
      </w:r>
    </w:p>
    <w:p w14:paraId="68B62B09" w14:textId="3C0DB06B" w:rsidR="006811A8" w:rsidRDefault="006811A8" w:rsidP="0050734B">
      <w:pPr>
        <w:pStyle w:val="Default"/>
        <w:numPr>
          <w:ilvl w:val="0"/>
          <w:numId w:val="33"/>
        </w:numPr>
        <w:jc w:val="both"/>
      </w:pPr>
      <w:r>
        <w:t xml:space="preserve">a Readiness Support project by the GCF - In July 2017, a technical assistance project financed by the Climate Technology Centre and Network for the water sector was approved; </w:t>
      </w:r>
    </w:p>
    <w:p w14:paraId="2F9DED75" w14:textId="77777777" w:rsidR="006811A8" w:rsidRDefault="006811A8" w:rsidP="0050734B">
      <w:pPr>
        <w:pStyle w:val="Default"/>
        <w:numPr>
          <w:ilvl w:val="0"/>
          <w:numId w:val="33"/>
        </w:numPr>
        <w:jc w:val="both"/>
      </w:pPr>
      <w:r>
        <w:t xml:space="preserve">In 2018 approval by the GCF of the “Climate Resilient Water Sector in Grenada G-CREWS)” which is aimed at mainstream and implement climate resilience throughout Grenada’s entire national water sector. </w:t>
      </w:r>
    </w:p>
    <w:p w14:paraId="58AB7EA3" w14:textId="77777777" w:rsidR="006811A8" w:rsidRDefault="006811A8" w:rsidP="0050734B">
      <w:pPr>
        <w:pStyle w:val="Default"/>
        <w:numPr>
          <w:ilvl w:val="0"/>
          <w:numId w:val="33"/>
        </w:numPr>
        <w:jc w:val="both"/>
      </w:pPr>
      <w:r>
        <w:t>Technical cooperation with the Japanese Caribbean Climate Change Partnership</w:t>
      </w:r>
    </w:p>
    <w:p w14:paraId="59DD9818" w14:textId="77777777" w:rsidR="006811A8" w:rsidRDefault="006811A8" w:rsidP="0050734B">
      <w:pPr>
        <w:pStyle w:val="Default"/>
        <w:jc w:val="both"/>
        <w:rPr>
          <w:b/>
        </w:rPr>
      </w:pPr>
    </w:p>
    <w:p w14:paraId="182C5111" w14:textId="63F73B5E" w:rsidR="00806A35" w:rsidRDefault="00F71537" w:rsidP="00F5403D">
      <w:pPr>
        <w:pStyle w:val="Default"/>
        <w:rPr>
          <w:b/>
        </w:rPr>
      </w:pPr>
      <w:r>
        <w:rPr>
          <w:b/>
        </w:rPr>
        <w:t>Lessons Learnt</w:t>
      </w:r>
      <w:bookmarkEnd w:id="0"/>
      <w:r w:rsidR="00366488">
        <w:rPr>
          <w:b/>
        </w:rPr>
        <w:t>:</w:t>
      </w:r>
    </w:p>
    <w:p w14:paraId="6B90AE0D" w14:textId="2EC32278" w:rsidR="002D5A5E" w:rsidRPr="006811A8" w:rsidRDefault="006215B8" w:rsidP="00B52FCF">
      <w:pPr>
        <w:pStyle w:val="Default"/>
        <w:numPr>
          <w:ilvl w:val="0"/>
          <w:numId w:val="36"/>
        </w:numPr>
        <w:spacing w:after="80"/>
        <w:jc w:val="both"/>
      </w:pPr>
      <w:r>
        <w:t>The successful access to international funding requires c</w:t>
      </w:r>
      <w:r w:rsidR="0079636F" w:rsidRPr="006811A8">
        <w:t>apacity building</w:t>
      </w:r>
      <w:r>
        <w:t xml:space="preserve"> in the public sector in general</w:t>
      </w:r>
      <w:r w:rsidR="0079636F" w:rsidRPr="006811A8">
        <w:t xml:space="preserve"> and the n</w:t>
      </w:r>
      <w:r w:rsidR="00227689" w:rsidRPr="006811A8">
        <w:t xml:space="preserve">eed for persons trained in </w:t>
      </w:r>
      <w:r w:rsidR="0079636F" w:rsidRPr="006811A8">
        <w:t xml:space="preserve">preparation of </w:t>
      </w:r>
      <w:r w:rsidR="002D5A5E" w:rsidRPr="006811A8">
        <w:t>proposal preparation and specific aspects of climate finance</w:t>
      </w:r>
      <w:r>
        <w:t xml:space="preserve"> within the local community</w:t>
      </w:r>
    </w:p>
    <w:p w14:paraId="6CE6BBDE" w14:textId="4D002508" w:rsidR="00FC430A" w:rsidRPr="006811A8" w:rsidRDefault="006215B8" w:rsidP="00B52FCF">
      <w:pPr>
        <w:pStyle w:val="Default"/>
        <w:numPr>
          <w:ilvl w:val="0"/>
          <w:numId w:val="36"/>
        </w:numPr>
        <w:spacing w:after="80"/>
        <w:jc w:val="both"/>
      </w:pPr>
      <w:r>
        <w:t xml:space="preserve">Focal agencies need to achieve </w:t>
      </w:r>
      <w:r w:rsidR="001C4EDA" w:rsidRPr="006811A8">
        <w:t>accreditation</w:t>
      </w:r>
      <w:r>
        <w:t xml:space="preserve"> quickly (e.g. Grenada Development Bank) to access</w:t>
      </w:r>
      <w:r w:rsidR="00266CD4" w:rsidRPr="006811A8">
        <w:t xml:space="preserve"> the</w:t>
      </w:r>
      <w:r w:rsidR="001C4EDA" w:rsidRPr="006811A8">
        <w:t xml:space="preserve"> rel</w:t>
      </w:r>
      <w:r w:rsidR="0058754E" w:rsidRPr="006811A8">
        <w:t>e</w:t>
      </w:r>
      <w:r w:rsidR="001C4EDA" w:rsidRPr="006811A8">
        <w:t xml:space="preserve">vant </w:t>
      </w:r>
      <w:r w:rsidR="00366488">
        <w:t xml:space="preserve">bilateral and </w:t>
      </w:r>
      <w:r w:rsidR="001C4EDA" w:rsidRPr="006811A8">
        <w:t>multilateral financing institutions</w:t>
      </w:r>
      <w:r w:rsidR="00FC430A" w:rsidRPr="006811A8">
        <w:t xml:space="preserve"> (</w:t>
      </w:r>
      <w:r w:rsidR="00366488">
        <w:t xml:space="preserve">e.g., </w:t>
      </w:r>
      <w:r w:rsidR="00FC430A" w:rsidRPr="006811A8">
        <w:t>GCF)</w:t>
      </w:r>
      <w:r>
        <w:t xml:space="preserve">. </w:t>
      </w:r>
      <w:r w:rsidRPr="006215B8">
        <w:t xml:space="preserve"> </w:t>
      </w:r>
      <w:r w:rsidR="00E91CCF">
        <w:t>The Government must e</w:t>
      </w:r>
      <w:r w:rsidRPr="00DB3EFF">
        <w:t xml:space="preserve">nsure that local capacity, both in terms of obtaining accreditation and executing functions (financial management) </w:t>
      </w:r>
      <w:r w:rsidR="00E91CCF">
        <w:t xml:space="preserve">is built </w:t>
      </w:r>
      <w:r w:rsidRPr="00DB3EFF">
        <w:t>and sustain</w:t>
      </w:r>
      <w:r w:rsidR="00E91CCF">
        <w:t>ed.</w:t>
      </w:r>
    </w:p>
    <w:p w14:paraId="5E73F2F1" w14:textId="26D5D77E" w:rsidR="00E91CCF" w:rsidRDefault="00FC430A" w:rsidP="00B52FCF">
      <w:pPr>
        <w:pStyle w:val="Default"/>
        <w:numPr>
          <w:ilvl w:val="0"/>
          <w:numId w:val="36"/>
        </w:numPr>
        <w:spacing w:after="80"/>
        <w:jc w:val="both"/>
      </w:pPr>
      <w:r w:rsidRPr="006811A8">
        <w:t xml:space="preserve">Partnering with institutions </w:t>
      </w:r>
      <w:r w:rsidR="00FD5591" w:rsidRPr="006811A8">
        <w:t>w</w:t>
      </w:r>
      <w:r w:rsidR="00366488">
        <w:t>ith the relevant experience is beneficial and necessary in helping to achieve the following:</w:t>
      </w:r>
    </w:p>
    <w:p w14:paraId="068400F6" w14:textId="17D1CD0D" w:rsidR="00E91CCF" w:rsidRDefault="00366488" w:rsidP="0050734B">
      <w:pPr>
        <w:pStyle w:val="Default"/>
        <w:numPr>
          <w:ilvl w:val="1"/>
          <w:numId w:val="36"/>
        </w:numPr>
        <w:jc w:val="both"/>
      </w:pPr>
      <w:r>
        <w:t xml:space="preserve">Building </w:t>
      </w:r>
      <w:r w:rsidR="00E91CCF">
        <w:t>capacity</w:t>
      </w:r>
    </w:p>
    <w:p w14:paraId="689D06DD" w14:textId="408DB63E" w:rsidR="00E91CCF" w:rsidRDefault="00366488" w:rsidP="0050734B">
      <w:pPr>
        <w:pStyle w:val="Default"/>
        <w:numPr>
          <w:ilvl w:val="1"/>
          <w:numId w:val="36"/>
        </w:numPr>
        <w:jc w:val="both"/>
      </w:pPr>
      <w:r>
        <w:t>P</w:t>
      </w:r>
      <w:r w:rsidR="00FD5591" w:rsidRPr="006811A8">
        <w:t>rovid</w:t>
      </w:r>
      <w:r>
        <w:t>ing</w:t>
      </w:r>
      <w:r w:rsidR="00FD5591" w:rsidRPr="006811A8">
        <w:t xml:space="preserve"> bridging finance to jumpstart initiative</w:t>
      </w:r>
      <w:r w:rsidR="00E91CCF">
        <w:t>s</w:t>
      </w:r>
      <w:r w:rsidR="00FD5591" w:rsidRPr="006811A8">
        <w:t xml:space="preserve"> or </w:t>
      </w:r>
    </w:p>
    <w:p w14:paraId="5A5C256A" w14:textId="059E2FE5" w:rsidR="00E91CCF" w:rsidRPr="006811A8" w:rsidRDefault="00366488" w:rsidP="0050734B">
      <w:pPr>
        <w:pStyle w:val="Default"/>
        <w:numPr>
          <w:ilvl w:val="1"/>
          <w:numId w:val="36"/>
        </w:numPr>
        <w:jc w:val="both"/>
      </w:pPr>
      <w:r>
        <w:t>U</w:t>
      </w:r>
      <w:r w:rsidR="00FD5591" w:rsidRPr="006811A8">
        <w:t>ndertak</w:t>
      </w:r>
      <w:r>
        <w:t>ing</w:t>
      </w:r>
      <w:r w:rsidR="00FD5591" w:rsidRPr="006811A8">
        <w:t xml:space="preserve"> </w:t>
      </w:r>
      <w:r w:rsidR="00C0348A" w:rsidRPr="006811A8">
        <w:t xml:space="preserve">necessary feasibilities to adequately determine the </w:t>
      </w:r>
      <w:r w:rsidR="002D3918" w:rsidRPr="006811A8">
        <w:t xml:space="preserve">technical and financial resources needed to facilitate </w:t>
      </w:r>
      <w:r w:rsidR="00F32598" w:rsidRPr="006811A8">
        <w:t>climate adaptation and build resilience.</w:t>
      </w:r>
    </w:p>
    <w:p w14:paraId="0B5890F1" w14:textId="77777777" w:rsidR="006811A8" w:rsidRDefault="006811A8" w:rsidP="0050734B">
      <w:pPr>
        <w:pStyle w:val="Default"/>
        <w:jc w:val="both"/>
      </w:pPr>
    </w:p>
    <w:p w14:paraId="68540D71" w14:textId="3988AC80" w:rsidR="00035762" w:rsidRDefault="00700C0A" w:rsidP="0050734B">
      <w:pPr>
        <w:pStyle w:val="Default"/>
        <w:jc w:val="both"/>
      </w:pPr>
      <w:r>
        <w:t>The documenting of the CCCAF’s functioning and using these results to</w:t>
      </w:r>
      <w:r w:rsidR="00E91CCF">
        <w:t xml:space="preserve"> </w:t>
      </w:r>
      <w:r>
        <w:t>inform the institutional</w:t>
      </w:r>
      <w:r w:rsidR="00366488">
        <w:t xml:space="preserve"> </w:t>
      </w:r>
      <w:r>
        <w:t>strengthening</w:t>
      </w:r>
      <w:r w:rsidR="00E91CCF">
        <w:t xml:space="preserve"> process</w:t>
      </w:r>
      <w:r>
        <w:t xml:space="preserve"> needed to make Grenada ready to access larger scale climate </w:t>
      </w:r>
      <w:r w:rsidR="006C4840">
        <w:t>change financing is the key take away from the CCCAF.</w:t>
      </w:r>
    </w:p>
    <w:p w14:paraId="2ACCFCC1" w14:textId="77777777" w:rsidR="006811A8" w:rsidRDefault="006811A8" w:rsidP="0050734B">
      <w:pPr>
        <w:pStyle w:val="Default"/>
        <w:jc w:val="both"/>
      </w:pPr>
    </w:p>
    <w:p w14:paraId="683A132C" w14:textId="2971ECC6" w:rsidR="00E91CCF" w:rsidRDefault="00E91CCF" w:rsidP="0050734B">
      <w:pPr>
        <w:pStyle w:val="Default"/>
        <w:jc w:val="both"/>
        <w:rPr>
          <w:b/>
        </w:rPr>
      </w:pPr>
      <w:r>
        <w:t xml:space="preserve">The CCCAF success in community projects which involved stakeholders in design and implementation of projects </w:t>
      </w:r>
      <w:r w:rsidR="00366488">
        <w:t xml:space="preserve">demonstrated a high level of </w:t>
      </w:r>
      <w:r w:rsidRPr="00AB0609">
        <w:t>country ownership</w:t>
      </w:r>
      <w:r w:rsidRPr="00366488">
        <w:t xml:space="preserve"> </w:t>
      </w:r>
      <w:r w:rsidR="00366488" w:rsidRPr="00366488">
        <w:t xml:space="preserve">and provided evidence of the country’s commitment to utilising the resources provided to building resilience and addressing climate risks. Feedback received from the communities of their willingness to take on bigger projects is demonstrative of a </w:t>
      </w:r>
      <w:r>
        <w:t>best practice that can be scaled up in the development of larger project funding exerci</w:t>
      </w:r>
      <w:r w:rsidR="000B1247">
        <w:t>s</w:t>
      </w:r>
      <w:r>
        <w:t>es</w:t>
      </w:r>
      <w:r w:rsidR="000B1247">
        <w:rPr>
          <w:b/>
        </w:rPr>
        <w:t>.</w:t>
      </w:r>
    </w:p>
    <w:p w14:paraId="7CCEED42" w14:textId="77777777" w:rsidR="006811A8" w:rsidRDefault="006811A8" w:rsidP="0050734B">
      <w:pPr>
        <w:pStyle w:val="Default"/>
        <w:jc w:val="both"/>
        <w:rPr>
          <w:b/>
        </w:rPr>
      </w:pPr>
    </w:p>
    <w:p w14:paraId="0C394EA4" w14:textId="054D2D49" w:rsidR="00735635" w:rsidRPr="00082722" w:rsidRDefault="00735635" w:rsidP="0050734B">
      <w:pPr>
        <w:pStyle w:val="Default"/>
        <w:jc w:val="both"/>
        <w:rPr>
          <w:b/>
        </w:rPr>
      </w:pPr>
      <w:r w:rsidRPr="00082722">
        <w:rPr>
          <w:b/>
        </w:rPr>
        <w:t>Recommendations based on the Lessons Learnt and Best Practices Analysis:</w:t>
      </w:r>
    </w:p>
    <w:p w14:paraId="18F4DC26" w14:textId="00A9C996" w:rsidR="00E91CCF" w:rsidRDefault="000B1247" w:rsidP="0050734B">
      <w:pPr>
        <w:pStyle w:val="Default"/>
        <w:numPr>
          <w:ilvl w:val="0"/>
          <w:numId w:val="37"/>
        </w:numPr>
        <w:jc w:val="both"/>
      </w:pPr>
      <w:r>
        <w:t>I</w:t>
      </w:r>
      <w:r w:rsidR="00E91CCF">
        <w:t xml:space="preserve">nstitutionalize capacity building so that newcomers are </w:t>
      </w:r>
      <w:r>
        <w:t>trained,</w:t>
      </w:r>
      <w:r w:rsidR="00E91CCF">
        <w:t xml:space="preserve"> and </w:t>
      </w:r>
      <w:r>
        <w:t>training upgraded as required</w:t>
      </w:r>
    </w:p>
    <w:p w14:paraId="6F95D2C5" w14:textId="07692E1B" w:rsidR="000B1247" w:rsidRDefault="000B1247" w:rsidP="00B52FCF">
      <w:pPr>
        <w:pStyle w:val="Default"/>
        <w:numPr>
          <w:ilvl w:val="0"/>
          <w:numId w:val="37"/>
        </w:numPr>
        <w:spacing w:after="80"/>
        <w:jc w:val="both"/>
      </w:pPr>
      <w:r>
        <w:t>Include funding accreditation requirements in ongoing planning activities at the policy and program level</w:t>
      </w:r>
    </w:p>
    <w:p w14:paraId="52A5FA0C" w14:textId="34F18BB3" w:rsidR="000B1247" w:rsidRDefault="000B1247" w:rsidP="00B52FCF">
      <w:pPr>
        <w:pStyle w:val="Default"/>
        <w:numPr>
          <w:ilvl w:val="0"/>
          <w:numId w:val="37"/>
        </w:numPr>
        <w:spacing w:after="80"/>
        <w:jc w:val="both"/>
      </w:pPr>
      <w:r>
        <w:t xml:space="preserve">Align policy programs and plans with climate change adaptation goals plans and activities and ensure the budgetary cost and expenditure categories reflect those goals plans and activities. </w:t>
      </w:r>
    </w:p>
    <w:p w14:paraId="67CAD699" w14:textId="54CC83A1" w:rsidR="000B1247" w:rsidRDefault="000B1247" w:rsidP="0050734B">
      <w:pPr>
        <w:pStyle w:val="Default"/>
        <w:numPr>
          <w:ilvl w:val="0"/>
          <w:numId w:val="37"/>
        </w:numPr>
        <w:jc w:val="both"/>
      </w:pPr>
      <w:r>
        <w:lastRenderedPageBreak/>
        <w:t>Institutionalize the bottom up input into planning and implementation exercises so that the funds are effectively used to improve the quality of life in the communities.</w:t>
      </w:r>
    </w:p>
    <w:p w14:paraId="04B22D37" w14:textId="77777777" w:rsidR="000B1247" w:rsidRDefault="000B1247" w:rsidP="00F24233">
      <w:pPr>
        <w:pStyle w:val="Default"/>
      </w:pPr>
    </w:p>
    <w:p w14:paraId="041D490F" w14:textId="77777777" w:rsidR="00B52FCF" w:rsidRDefault="00F24233" w:rsidP="00F24233">
      <w:pPr>
        <w:pStyle w:val="Default"/>
      </w:pPr>
      <w:r w:rsidRPr="00F24233">
        <w:t xml:space="preserve">Author: </w:t>
      </w:r>
      <w:r w:rsidR="00BC0189">
        <w:t>David Simmons &amp; Christina Barradas-Brewster/ Consultants/ Caribbean/</w:t>
      </w:r>
      <w:r w:rsidR="00B52FCF">
        <w:t xml:space="preserve"> </w:t>
      </w:r>
    </w:p>
    <w:p w14:paraId="1989F5D4" w14:textId="2B9305BB" w:rsidR="00BC0189" w:rsidRDefault="00B52FCF" w:rsidP="00F24233">
      <w:pPr>
        <w:pStyle w:val="Default"/>
      </w:pPr>
      <w:r>
        <w:t xml:space="preserve">Contact: </w:t>
      </w:r>
      <w:hyperlink r:id="rId17" w:history="1">
        <w:r w:rsidRPr="000226B0">
          <w:rPr>
            <w:rStyle w:val="Hyperlink"/>
          </w:rPr>
          <w:t>davidasimmons@outlook.com</w:t>
        </w:r>
      </w:hyperlink>
    </w:p>
    <w:p w14:paraId="5CA8949D"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4A5A39A1" w14:textId="77777777" w:rsidR="00F24233" w:rsidRPr="00F24233" w:rsidRDefault="00F24233" w:rsidP="00F24233">
      <w:pPr>
        <w:pStyle w:val="Default"/>
      </w:pPr>
      <w:r w:rsidRPr="00F24233">
        <w:t xml:space="preserve">MHT: What is the Major Habitat Type for this partnership? </w:t>
      </w:r>
      <w:r w:rsidR="003C550F">
        <w:t>Farming community</w:t>
      </w:r>
      <w:r w:rsidR="007B6378">
        <w:t>, school</w:t>
      </w:r>
    </w:p>
    <w:p w14:paraId="0261B33A" w14:textId="77777777" w:rsidR="00F24233" w:rsidRPr="00F24233" w:rsidRDefault="00F24233" w:rsidP="00F24233">
      <w:pPr>
        <w:pStyle w:val="Default"/>
      </w:pPr>
      <w:r w:rsidRPr="00F24233">
        <w:t>Types of Partners: Government, Place-based NGO, International NGO,</w:t>
      </w:r>
      <w:r w:rsidR="007B6378">
        <w:t xml:space="preserve"> </w:t>
      </w:r>
      <w:r w:rsidRPr="00F24233">
        <w:t>Community Based Organization</w:t>
      </w:r>
      <w:r w:rsidR="002D53EA">
        <w:t>.</w:t>
      </w:r>
    </w:p>
    <w:p w14:paraId="79257476" w14:textId="77777777" w:rsidR="00F24233" w:rsidRPr="00F24233" w:rsidRDefault="00F24233" w:rsidP="00F24233">
      <w:pPr>
        <w:pStyle w:val="Default"/>
      </w:pPr>
      <w:r w:rsidRPr="00F24233">
        <w:t xml:space="preserve">Priority: Freshwater </w:t>
      </w:r>
    </w:p>
    <w:p w14:paraId="2CF1BC25" w14:textId="77777777" w:rsidR="00F24233" w:rsidRPr="00F24233" w:rsidRDefault="00F24233" w:rsidP="00F24233">
      <w:pPr>
        <w:pStyle w:val="Default"/>
      </w:pPr>
      <w:r w:rsidRPr="00F24233">
        <w:t xml:space="preserve">Date: </w:t>
      </w:r>
      <w:r w:rsidR="00BC0189">
        <w:t>May 2018</w:t>
      </w:r>
      <w:r w:rsidRPr="00F24233">
        <w:t xml:space="preserve"> </w:t>
      </w:r>
    </w:p>
    <w:p w14:paraId="50CBA9C9" w14:textId="77777777" w:rsidR="00BF6720" w:rsidRDefault="007D7461" w:rsidP="00C43A9A">
      <w:pPr>
        <w:spacing w:after="0"/>
      </w:pPr>
      <w:r w:rsidRPr="007D7461">
        <w:rPr>
          <w:sz w:val="24"/>
          <w:szCs w:val="24"/>
        </w:rPr>
        <w:t>Link</w:t>
      </w:r>
      <w:r w:rsidR="007B6378" w:rsidRPr="007D7461">
        <w:rPr>
          <w:sz w:val="24"/>
          <w:szCs w:val="24"/>
        </w:rPr>
        <w:t>s:</w:t>
      </w:r>
      <w:r w:rsidRPr="007D7461">
        <w:t xml:space="preserve"> </w:t>
      </w:r>
      <w:hyperlink r:id="rId18" w:history="1">
        <w:r w:rsidR="001D4ADE" w:rsidRPr="00452DFE">
          <w:rPr>
            <w:rStyle w:val="Hyperlink"/>
          </w:rPr>
          <w:t>http://www.iccas.gd/?q=about-iccas</w:t>
        </w:r>
      </w:hyperlink>
      <w:r w:rsidR="00BF6720" w:rsidRPr="00BF6720">
        <w:t xml:space="preserve"> </w:t>
      </w:r>
    </w:p>
    <w:p w14:paraId="303D75C3" w14:textId="77777777" w:rsidR="001D4ADE" w:rsidRDefault="00B52FCF" w:rsidP="00C43A9A">
      <w:pPr>
        <w:spacing w:after="0"/>
      </w:pPr>
      <w:hyperlink r:id="rId19" w:history="1">
        <w:r w:rsidR="00BF6720" w:rsidRPr="00452DFE">
          <w:rPr>
            <w:rStyle w:val="Hyperlink"/>
          </w:rPr>
          <w:t>https://www.greenclimate.fund/-/climate-resilient-water-sector-in-grenada-g-crews-</w:t>
        </w:r>
      </w:hyperlink>
    </w:p>
    <w:p w14:paraId="40DB8957" w14:textId="77777777" w:rsidR="000C3319" w:rsidRDefault="00B52FCF" w:rsidP="00C43A9A">
      <w:pPr>
        <w:spacing w:after="0"/>
      </w:pPr>
      <w:hyperlink r:id="rId20" w:history="1">
        <w:r w:rsidR="00BF6720" w:rsidRPr="00452DFE">
          <w:rPr>
            <w:rStyle w:val="Hyperlink"/>
          </w:rPr>
          <w:t>http://www.adaptation-undp.org/projects/japan-caribbean-climate-change-partnership</w:t>
        </w:r>
      </w:hyperlink>
      <w:r w:rsidR="00E32582" w:rsidRPr="00E32582">
        <w:t xml:space="preserve"> </w:t>
      </w:r>
      <w:hyperlink r:id="rId21" w:history="1">
        <w:r w:rsidR="00E32582" w:rsidRPr="00452DFE">
          <w:rPr>
            <w:rStyle w:val="Hyperlink"/>
          </w:rPr>
          <w:t>http://www.gov.gd/egov/news/2017/oct17/10_10_17/item_1/green-climate-fund-approves-readness-preparatory-support-programme-grenada.html</w:t>
        </w:r>
      </w:hyperlink>
    </w:p>
    <w:p w14:paraId="41309DBB" w14:textId="77777777" w:rsidR="00E32582" w:rsidRDefault="00E32582" w:rsidP="00C43A9A">
      <w:pPr>
        <w:spacing w:after="0"/>
      </w:pPr>
    </w:p>
    <w:p w14:paraId="34AFF45E" w14:textId="35DF7975" w:rsidR="00DB22F6" w:rsidRPr="007D7461" w:rsidRDefault="00DB22F6" w:rsidP="00DB22F6">
      <w:bookmarkStart w:id="1" w:name="_GoBack"/>
      <w:bookmarkEnd w:id="1"/>
    </w:p>
    <w:sectPr w:rsidR="00DB22F6" w:rsidRPr="007D7461" w:rsidSect="00366488">
      <w:type w:val="continuous"/>
      <w:pgSz w:w="12240" w:h="16340"/>
      <w:pgMar w:top="1440" w:right="1008" w:bottom="1440" w:left="1008" w:header="720" w:footer="720" w:gutter="0"/>
      <w:pgNumType w:fmt="numberInDash"/>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BCC6" w14:textId="77777777" w:rsidR="00192972" w:rsidRDefault="00192972" w:rsidP="009F6A04">
      <w:pPr>
        <w:spacing w:after="0" w:line="240" w:lineRule="auto"/>
      </w:pPr>
      <w:r>
        <w:separator/>
      </w:r>
    </w:p>
  </w:endnote>
  <w:endnote w:type="continuationSeparator" w:id="0">
    <w:p w14:paraId="094DEC13" w14:textId="77777777" w:rsidR="00192972" w:rsidRDefault="00192972"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4968"/>
      <w:docPartObj>
        <w:docPartGallery w:val="Page Numbers (Bottom of Page)"/>
        <w:docPartUnique/>
      </w:docPartObj>
    </w:sdtPr>
    <w:sdtEndPr>
      <w:rPr>
        <w:noProof/>
      </w:rPr>
    </w:sdtEndPr>
    <w:sdtContent>
      <w:p w14:paraId="7269DDFB" w14:textId="475576EC" w:rsidR="008A1A30" w:rsidRDefault="008A1A30">
        <w:pPr>
          <w:pStyle w:val="Footer"/>
          <w:jc w:val="center"/>
        </w:pPr>
        <w:r>
          <w:fldChar w:fldCharType="begin"/>
        </w:r>
        <w:r>
          <w:instrText xml:space="preserve"> PAGE   \* MERGEFORMAT </w:instrText>
        </w:r>
        <w:r>
          <w:fldChar w:fldCharType="separate"/>
        </w:r>
        <w:r w:rsidR="00B52FCF">
          <w:rPr>
            <w:noProof/>
          </w:rPr>
          <w:t>- 3 -</w:t>
        </w:r>
        <w:r>
          <w:rPr>
            <w:noProof/>
          </w:rPr>
          <w:fldChar w:fldCharType="end"/>
        </w:r>
      </w:p>
    </w:sdtContent>
  </w:sdt>
  <w:p w14:paraId="6275D440" w14:textId="77777777" w:rsidR="008A1A30" w:rsidRDefault="008A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0534" w14:textId="77777777" w:rsidR="00192972" w:rsidRDefault="00192972" w:rsidP="009F6A04">
      <w:pPr>
        <w:spacing w:after="0" w:line="240" w:lineRule="auto"/>
      </w:pPr>
      <w:r>
        <w:separator/>
      </w:r>
    </w:p>
  </w:footnote>
  <w:footnote w:type="continuationSeparator" w:id="0">
    <w:p w14:paraId="6EE8B0B7" w14:textId="77777777" w:rsidR="00192972" w:rsidRDefault="00192972"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4E1"/>
    <w:multiLevelType w:val="hybridMultilevel"/>
    <w:tmpl w:val="9E4EBF5E"/>
    <w:lvl w:ilvl="0" w:tplc="2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CD85B23"/>
    <w:multiLevelType w:val="hybridMultilevel"/>
    <w:tmpl w:val="DB587D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0DA46CE2"/>
    <w:multiLevelType w:val="hybridMultilevel"/>
    <w:tmpl w:val="B8B22512"/>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 w15:restartNumberingAfterBreak="0">
    <w:nsid w:val="0F7D518A"/>
    <w:multiLevelType w:val="hybridMultilevel"/>
    <w:tmpl w:val="F448F28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11367EF9"/>
    <w:multiLevelType w:val="hybridMultilevel"/>
    <w:tmpl w:val="FE98C15C"/>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11510A83"/>
    <w:multiLevelType w:val="hybridMultilevel"/>
    <w:tmpl w:val="F9E0D35C"/>
    <w:lvl w:ilvl="0" w:tplc="04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193C45C2"/>
    <w:multiLevelType w:val="hybridMultilevel"/>
    <w:tmpl w:val="8640CEDE"/>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7" w15:restartNumberingAfterBreak="0">
    <w:nsid w:val="196C697C"/>
    <w:multiLevelType w:val="hybridMultilevel"/>
    <w:tmpl w:val="ED14B4D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19980CF5"/>
    <w:multiLevelType w:val="hybridMultilevel"/>
    <w:tmpl w:val="EE0273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1A8A556F"/>
    <w:multiLevelType w:val="hybridMultilevel"/>
    <w:tmpl w:val="8E5CD5D6"/>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0" w15:restartNumberingAfterBreak="0">
    <w:nsid w:val="1C551DCB"/>
    <w:multiLevelType w:val="hybridMultilevel"/>
    <w:tmpl w:val="BAA2673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280173AC"/>
    <w:multiLevelType w:val="hybridMultilevel"/>
    <w:tmpl w:val="1700B9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30FE4B09"/>
    <w:multiLevelType w:val="hybridMultilevel"/>
    <w:tmpl w:val="5DA8617A"/>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395D57AD"/>
    <w:multiLevelType w:val="hybridMultilevel"/>
    <w:tmpl w:val="D8B89F1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39E25F05"/>
    <w:multiLevelType w:val="hybridMultilevel"/>
    <w:tmpl w:val="3774B9D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6"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3BBA0FE8"/>
    <w:multiLevelType w:val="hybridMultilevel"/>
    <w:tmpl w:val="C78CC69A"/>
    <w:lvl w:ilvl="0" w:tplc="2C09000B">
      <w:start w:val="1"/>
      <w:numFmt w:val="bullet"/>
      <w:lvlText w:val=""/>
      <w:lvlJc w:val="left"/>
      <w:pPr>
        <w:ind w:left="1440" w:hanging="360"/>
      </w:pPr>
      <w:rPr>
        <w:rFonts w:ascii="Wingdings" w:hAnsi="Wingding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8" w15:restartNumberingAfterBreak="0">
    <w:nsid w:val="3FC1119D"/>
    <w:multiLevelType w:val="hybridMultilevel"/>
    <w:tmpl w:val="B62418D6"/>
    <w:lvl w:ilvl="0" w:tplc="2C09000F">
      <w:start w:val="1"/>
      <w:numFmt w:val="decimal"/>
      <w:lvlText w:val="%1."/>
      <w:lvlJc w:val="left"/>
      <w:pPr>
        <w:ind w:left="780" w:hanging="360"/>
      </w:pPr>
    </w:lvl>
    <w:lvl w:ilvl="1" w:tplc="2C090019" w:tentative="1">
      <w:start w:val="1"/>
      <w:numFmt w:val="lowerLetter"/>
      <w:lvlText w:val="%2."/>
      <w:lvlJc w:val="left"/>
      <w:pPr>
        <w:ind w:left="1500" w:hanging="360"/>
      </w:pPr>
    </w:lvl>
    <w:lvl w:ilvl="2" w:tplc="2C09001B" w:tentative="1">
      <w:start w:val="1"/>
      <w:numFmt w:val="lowerRoman"/>
      <w:lvlText w:val="%3."/>
      <w:lvlJc w:val="right"/>
      <w:pPr>
        <w:ind w:left="2220" w:hanging="180"/>
      </w:pPr>
    </w:lvl>
    <w:lvl w:ilvl="3" w:tplc="2C09000F" w:tentative="1">
      <w:start w:val="1"/>
      <w:numFmt w:val="decimal"/>
      <w:lvlText w:val="%4."/>
      <w:lvlJc w:val="left"/>
      <w:pPr>
        <w:ind w:left="2940" w:hanging="360"/>
      </w:pPr>
    </w:lvl>
    <w:lvl w:ilvl="4" w:tplc="2C090019" w:tentative="1">
      <w:start w:val="1"/>
      <w:numFmt w:val="lowerLetter"/>
      <w:lvlText w:val="%5."/>
      <w:lvlJc w:val="left"/>
      <w:pPr>
        <w:ind w:left="3660" w:hanging="360"/>
      </w:pPr>
    </w:lvl>
    <w:lvl w:ilvl="5" w:tplc="2C09001B" w:tentative="1">
      <w:start w:val="1"/>
      <w:numFmt w:val="lowerRoman"/>
      <w:lvlText w:val="%6."/>
      <w:lvlJc w:val="right"/>
      <w:pPr>
        <w:ind w:left="4380" w:hanging="180"/>
      </w:pPr>
    </w:lvl>
    <w:lvl w:ilvl="6" w:tplc="2C09000F" w:tentative="1">
      <w:start w:val="1"/>
      <w:numFmt w:val="decimal"/>
      <w:lvlText w:val="%7."/>
      <w:lvlJc w:val="left"/>
      <w:pPr>
        <w:ind w:left="5100" w:hanging="360"/>
      </w:pPr>
    </w:lvl>
    <w:lvl w:ilvl="7" w:tplc="2C090019" w:tentative="1">
      <w:start w:val="1"/>
      <w:numFmt w:val="lowerLetter"/>
      <w:lvlText w:val="%8."/>
      <w:lvlJc w:val="left"/>
      <w:pPr>
        <w:ind w:left="5820" w:hanging="360"/>
      </w:pPr>
    </w:lvl>
    <w:lvl w:ilvl="8" w:tplc="2C09001B" w:tentative="1">
      <w:start w:val="1"/>
      <w:numFmt w:val="lowerRoman"/>
      <w:lvlText w:val="%9."/>
      <w:lvlJc w:val="right"/>
      <w:pPr>
        <w:ind w:left="6540" w:hanging="180"/>
      </w:pPr>
    </w:lvl>
  </w:abstractNum>
  <w:abstractNum w:abstractNumId="19" w15:restartNumberingAfterBreak="0">
    <w:nsid w:val="41CB479D"/>
    <w:multiLevelType w:val="hybridMultilevel"/>
    <w:tmpl w:val="468CC72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1" w15:restartNumberingAfterBreak="0">
    <w:nsid w:val="46ED3CDA"/>
    <w:multiLevelType w:val="hybridMultilevel"/>
    <w:tmpl w:val="DA522B7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48CA1E8F"/>
    <w:multiLevelType w:val="hybridMultilevel"/>
    <w:tmpl w:val="FE34DB5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51696E1F"/>
    <w:multiLevelType w:val="hybridMultilevel"/>
    <w:tmpl w:val="A2F05BC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5598675D"/>
    <w:multiLevelType w:val="hybridMultilevel"/>
    <w:tmpl w:val="63C62C9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5" w15:restartNumberingAfterBreak="0">
    <w:nsid w:val="58FB6BA8"/>
    <w:multiLevelType w:val="hybridMultilevel"/>
    <w:tmpl w:val="98C2FAD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5BCB472E"/>
    <w:multiLevelType w:val="hybridMultilevel"/>
    <w:tmpl w:val="C47ECE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15:restartNumberingAfterBreak="0">
    <w:nsid w:val="5DD61F01"/>
    <w:multiLevelType w:val="hybridMultilevel"/>
    <w:tmpl w:val="9E9418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15:restartNumberingAfterBreak="0">
    <w:nsid w:val="5DE2724A"/>
    <w:multiLevelType w:val="hybridMultilevel"/>
    <w:tmpl w:val="C25E0176"/>
    <w:lvl w:ilvl="0" w:tplc="04090005">
      <w:start w:val="1"/>
      <w:numFmt w:val="bullet"/>
      <w:lvlText w:val=""/>
      <w:lvlJc w:val="left"/>
      <w:pPr>
        <w:ind w:left="720" w:hanging="360"/>
      </w:pPr>
      <w:rPr>
        <w:rFonts w:ascii="Wingdings" w:hAnsi="Wingdings"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9" w15:restartNumberingAfterBreak="0">
    <w:nsid w:val="61E14B24"/>
    <w:multiLevelType w:val="hybridMultilevel"/>
    <w:tmpl w:val="B20E667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0"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1" w15:restartNumberingAfterBreak="0">
    <w:nsid w:val="69C91E89"/>
    <w:multiLevelType w:val="hybridMultilevel"/>
    <w:tmpl w:val="66E027E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2" w15:restartNumberingAfterBreak="0">
    <w:nsid w:val="6B974546"/>
    <w:multiLevelType w:val="hybridMultilevel"/>
    <w:tmpl w:val="B48293C4"/>
    <w:lvl w:ilvl="0" w:tplc="2C09000D">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3" w15:restartNumberingAfterBreak="0">
    <w:nsid w:val="6E24225E"/>
    <w:multiLevelType w:val="hybridMultilevel"/>
    <w:tmpl w:val="BC2EC43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4" w15:restartNumberingAfterBreak="0">
    <w:nsid w:val="6E2F52D2"/>
    <w:multiLevelType w:val="hybridMultilevel"/>
    <w:tmpl w:val="1CEAADF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5" w15:restartNumberingAfterBreak="0">
    <w:nsid w:val="7503425F"/>
    <w:multiLevelType w:val="hybridMultilevel"/>
    <w:tmpl w:val="152445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6" w15:restartNumberingAfterBreak="0">
    <w:nsid w:val="79770A92"/>
    <w:multiLevelType w:val="hybridMultilevel"/>
    <w:tmpl w:val="FDFA01C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1"/>
  </w:num>
  <w:num w:numId="2">
    <w:abstractNumId w:val="30"/>
  </w:num>
  <w:num w:numId="3">
    <w:abstractNumId w:val="20"/>
  </w:num>
  <w:num w:numId="4">
    <w:abstractNumId w:val="16"/>
  </w:num>
  <w:num w:numId="5">
    <w:abstractNumId w:val="15"/>
  </w:num>
  <w:num w:numId="6">
    <w:abstractNumId w:val="33"/>
  </w:num>
  <w:num w:numId="7">
    <w:abstractNumId w:val="23"/>
  </w:num>
  <w:num w:numId="8">
    <w:abstractNumId w:val="14"/>
  </w:num>
  <w:num w:numId="9">
    <w:abstractNumId w:val="12"/>
  </w:num>
  <w:num w:numId="10">
    <w:abstractNumId w:val="4"/>
  </w:num>
  <w:num w:numId="11">
    <w:abstractNumId w:val="27"/>
  </w:num>
  <w:num w:numId="12">
    <w:abstractNumId w:val="8"/>
  </w:num>
  <w:num w:numId="13">
    <w:abstractNumId w:val="26"/>
  </w:num>
  <w:num w:numId="14">
    <w:abstractNumId w:val="1"/>
  </w:num>
  <w:num w:numId="15">
    <w:abstractNumId w:val="3"/>
  </w:num>
  <w:num w:numId="16">
    <w:abstractNumId w:val="25"/>
  </w:num>
  <w:num w:numId="17">
    <w:abstractNumId w:val="13"/>
  </w:num>
  <w:num w:numId="18">
    <w:abstractNumId w:val="31"/>
  </w:num>
  <w:num w:numId="19">
    <w:abstractNumId w:val="24"/>
  </w:num>
  <w:num w:numId="20">
    <w:abstractNumId w:val="2"/>
  </w:num>
  <w:num w:numId="21">
    <w:abstractNumId w:val="17"/>
  </w:num>
  <w:num w:numId="22">
    <w:abstractNumId w:val="36"/>
  </w:num>
  <w:num w:numId="23">
    <w:abstractNumId w:val="35"/>
  </w:num>
  <w:num w:numId="24">
    <w:abstractNumId w:val="32"/>
  </w:num>
  <w:num w:numId="25">
    <w:abstractNumId w:val="22"/>
  </w:num>
  <w:num w:numId="26">
    <w:abstractNumId w:val="29"/>
  </w:num>
  <w:num w:numId="27">
    <w:abstractNumId w:val="21"/>
  </w:num>
  <w:num w:numId="28">
    <w:abstractNumId w:val="34"/>
  </w:num>
  <w:num w:numId="29">
    <w:abstractNumId w:val="0"/>
  </w:num>
  <w:num w:numId="30">
    <w:abstractNumId w:val="5"/>
  </w:num>
  <w:num w:numId="31">
    <w:abstractNumId w:val="10"/>
  </w:num>
  <w:num w:numId="32">
    <w:abstractNumId w:val="7"/>
  </w:num>
  <w:num w:numId="33">
    <w:abstractNumId w:val="18"/>
  </w:num>
  <w:num w:numId="34">
    <w:abstractNumId w:val="9"/>
  </w:num>
  <w:num w:numId="35">
    <w:abstractNumId w:val="6"/>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NK4FAAaS5fMtAAAA"/>
  </w:docVars>
  <w:rsids>
    <w:rsidRoot w:val="00F24233"/>
    <w:rsid w:val="0001359D"/>
    <w:rsid w:val="000204E0"/>
    <w:rsid w:val="00035762"/>
    <w:rsid w:val="00045234"/>
    <w:rsid w:val="00050B22"/>
    <w:rsid w:val="00051511"/>
    <w:rsid w:val="00054D30"/>
    <w:rsid w:val="00082722"/>
    <w:rsid w:val="000A0AEA"/>
    <w:rsid w:val="000B1247"/>
    <w:rsid w:val="000C254C"/>
    <w:rsid w:val="000C3319"/>
    <w:rsid w:val="000E03C3"/>
    <w:rsid w:val="000E71AE"/>
    <w:rsid w:val="000F65CB"/>
    <w:rsid w:val="00100812"/>
    <w:rsid w:val="0010767F"/>
    <w:rsid w:val="001237BB"/>
    <w:rsid w:val="001576CE"/>
    <w:rsid w:val="0017060A"/>
    <w:rsid w:val="00180C4B"/>
    <w:rsid w:val="00181E9A"/>
    <w:rsid w:val="001839F0"/>
    <w:rsid w:val="00192972"/>
    <w:rsid w:val="00194546"/>
    <w:rsid w:val="001A1E7D"/>
    <w:rsid w:val="001B64D1"/>
    <w:rsid w:val="001B7F87"/>
    <w:rsid w:val="001C4EDA"/>
    <w:rsid w:val="001D4ADE"/>
    <w:rsid w:val="001E6869"/>
    <w:rsid w:val="001F05A8"/>
    <w:rsid w:val="00211DB4"/>
    <w:rsid w:val="00214449"/>
    <w:rsid w:val="002176EC"/>
    <w:rsid w:val="002262F0"/>
    <w:rsid w:val="00227689"/>
    <w:rsid w:val="00235C5E"/>
    <w:rsid w:val="00255C96"/>
    <w:rsid w:val="00256BD4"/>
    <w:rsid w:val="00266CA5"/>
    <w:rsid w:val="00266CD4"/>
    <w:rsid w:val="00274479"/>
    <w:rsid w:val="00277870"/>
    <w:rsid w:val="002820AE"/>
    <w:rsid w:val="002864F8"/>
    <w:rsid w:val="00297027"/>
    <w:rsid w:val="002A4DE7"/>
    <w:rsid w:val="002D3918"/>
    <w:rsid w:val="002D53EA"/>
    <w:rsid w:val="002D5A5E"/>
    <w:rsid w:val="002D77BD"/>
    <w:rsid w:val="00301B1E"/>
    <w:rsid w:val="00314357"/>
    <w:rsid w:val="00314767"/>
    <w:rsid w:val="00315409"/>
    <w:rsid w:val="003244F6"/>
    <w:rsid w:val="0034797B"/>
    <w:rsid w:val="003515C5"/>
    <w:rsid w:val="00357319"/>
    <w:rsid w:val="00364321"/>
    <w:rsid w:val="00366488"/>
    <w:rsid w:val="00393E3C"/>
    <w:rsid w:val="003A7A71"/>
    <w:rsid w:val="003C0533"/>
    <w:rsid w:val="003C550F"/>
    <w:rsid w:val="003D07BC"/>
    <w:rsid w:val="003E15FD"/>
    <w:rsid w:val="00423FF6"/>
    <w:rsid w:val="004372B7"/>
    <w:rsid w:val="00474DF6"/>
    <w:rsid w:val="00487EE5"/>
    <w:rsid w:val="004B05DF"/>
    <w:rsid w:val="004C4179"/>
    <w:rsid w:val="00506210"/>
    <w:rsid w:val="0050734B"/>
    <w:rsid w:val="00522C59"/>
    <w:rsid w:val="00525C12"/>
    <w:rsid w:val="005462C6"/>
    <w:rsid w:val="00547148"/>
    <w:rsid w:val="00565D11"/>
    <w:rsid w:val="0058754E"/>
    <w:rsid w:val="005920D6"/>
    <w:rsid w:val="005F54E8"/>
    <w:rsid w:val="006215B8"/>
    <w:rsid w:val="006316AB"/>
    <w:rsid w:val="00642693"/>
    <w:rsid w:val="00650643"/>
    <w:rsid w:val="00655BF9"/>
    <w:rsid w:val="006755E0"/>
    <w:rsid w:val="006811A8"/>
    <w:rsid w:val="00694FA4"/>
    <w:rsid w:val="006A7D01"/>
    <w:rsid w:val="006B7D95"/>
    <w:rsid w:val="006C4840"/>
    <w:rsid w:val="006D5CC3"/>
    <w:rsid w:val="006D7DC8"/>
    <w:rsid w:val="006E79A7"/>
    <w:rsid w:val="00700C0A"/>
    <w:rsid w:val="00706162"/>
    <w:rsid w:val="00711DEA"/>
    <w:rsid w:val="00717682"/>
    <w:rsid w:val="00726DCD"/>
    <w:rsid w:val="00735635"/>
    <w:rsid w:val="007523B3"/>
    <w:rsid w:val="0075619C"/>
    <w:rsid w:val="0076135C"/>
    <w:rsid w:val="007919D2"/>
    <w:rsid w:val="0079636F"/>
    <w:rsid w:val="007B0F81"/>
    <w:rsid w:val="007B2D82"/>
    <w:rsid w:val="007B6378"/>
    <w:rsid w:val="007B7844"/>
    <w:rsid w:val="007D7461"/>
    <w:rsid w:val="007F754B"/>
    <w:rsid w:val="00805701"/>
    <w:rsid w:val="0080642A"/>
    <w:rsid w:val="00806A35"/>
    <w:rsid w:val="00806A7F"/>
    <w:rsid w:val="0081668B"/>
    <w:rsid w:val="0084392E"/>
    <w:rsid w:val="00880208"/>
    <w:rsid w:val="00887E53"/>
    <w:rsid w:val="008A1A30"/>
    <w:rsid w:val="008B3E81"/>
    <w:rsid w:val="008C3916"/>
    <w:rsid w:val="008F3E88"/>
    <w:rsid w:val="008F447C"/>
    <w:rsid w:val="00933DC9"/>
    <w:rsid w:val="00953331"/>
    <w:rsid w:val="00954617"/>
    <w:rsid w:val="00990DCF"/>
    <w:rsid w:val="009913E4"/>
    <w:rsid w:val="00992147"/>
    <w:rsid w:val="00993431"/>
    <w:rsid w:val="009B58E9"/>
    <w:rsid w:val="009D5613"/>
    <w:rsid w:val="009F0A21"/>
    <w:rsid w:val="009F6A04"/>
    <w:rsid w:val="00A01A08"/>
    <w:rsid w:val="00A01AB7"/>
    <w:rsid w:val="00A03EB9"/>
    <w:rsid w:val="00A2194C"/>
    <w:rsid w:val="00A34A9B"/>
    <w:rsid w:val="00A42EB5"/>
    <w:rsid w:val="00A43935"/>
    <w:rsid w:val="00A5109A"/>
    <w:rsid w:val="00A92307"/>
    <w:rsid w:val="00A92CC6"/>
    <w:rsid w:val="00A93BF2"/>
    <w:rsid w:val="00AC7CC9"/>
    <w:rsid w:val="00AD177F"/>
    <w:rsid w:val="00AD71F9"/>
    <w:rsid w:val="00AE266C"/>
    <w:rsid w:val="00AE56D8"/>
    <w:rsid w:val="00B02FE9"/>
    <w:rsid w:val="00B11AAC"/>
    <w:rsid w:val="00B23D48"/>
    <w:rsid w:val="00B445E4"/>
    <w:rsid w:val="00B52FCF"/>
    <w:rsid w:val="00B6221C"/>
    <w:rsid w:val="00B756A0"/>
    <w:rsid w:val="00B8464A"/>
    <w:rsid w:val="00B90DA2"/>
    <w:rsid w:val="00BC0189"/>
    <w:rsid w:val="00BE7281"/>
    <w:rsid w:val="00BF1F5E"/>
    <w:rsid w:val="00BF6720"/>
    <w:rsid w:val="00C00DAA"/>
    <w:rsid w:val="00C0348A"/>
    <w:rsid w:val="00C34587"/>
    <w:rsid w:val="00C36EBC"/>
    <w:rsid w:val="00C43A9A"/>
    <w:rsid w:val="00C50A1C"/>
    <w:rsid w:val="00C66251"/>
    <w:rsid w:val="00C84C5C"/>
    <w:rsid w:val="00C9564A"/>
    <w:rsid w:val="00C97572"/>
    <w:rsid w:val="00CA3111"/>
    <w:rsid w:val="00CA3E06"/>
    <w:rsid w:val="00CD32E5"/>
    <w:rsid w:val="00CD5563"/>
    <w:rsid w:val="00CE3BAB"/>
    <w:rsid w:val="00D008F3"/>
    <w:rsid w:val="00D018F4"/>
    <w:rsid w:val="00D05B1E"/>
    <w:rsid w:val="00D31167"/>
    <w:rsid w:val="00D41A89"/>
    <w:rsid w:val="00D502BC"/>
    <w:rsid w:val="00D5130C"/>
    <w:rsid w:val="00D51F53"/>
    <w:rsid w:val="00D91690"/>
    <w:rsid w:val="00D954B1"/>
    <w:rsid w:val="00DB088F"/>
    <w:rsid w:val="00DB22F6"/>
    <w:rsid w:val="00DC552C"/>
    <w:rsid w:val="00DF3D02"/>
    <w:rsid w:val="00E3220C"/>
    <w:rsid w:val="00E32582"/>
    <w:rsid w:val="00E57851"/>
    <w:rsid w:val="00E6248C"/>
    <w:rsid w:val="00E64F56"/>
    <w:rsid w:val="00E75B86"/>
    <w:rsid w:val="00E80EA6"/>
    <w:rsid w:val="00E91CCF"/>
    <w:rsid w:val="00EA5F07"/>
    <w:rsid w:val="00EA6298"/>
    <w:rsid w:val="00EB0FC3"/>
    <w:rsid w:val="00ED1109"/>
    <w:rsid w:val="00EF14AF"/>
    <w:rsid w:val="00EF1F41"/>
    <w:rsid w:val="00F24233"/>
    <w:rsid w:val="00F32598"/>
    <w:rsid w:val="00F3302A"/>
    <w:rsid w:val="00F41797"/>
    <w:rsid w:val="00F43EA5"/>
    <w:rsid w:val="00F52975"/>
    <w:rsid w:val="00F5403D"/>
    <w:rsid w:val="00F57A1A"/>
    <w:rsid w:val="00F71537"/>
    <w:rsid w:val="00F77246"/>
    <w:rsid w:val="00F963D3"/>
    <w:rsid w:val="00FA5058"/>
    <w:rsid w:val="00FC430A"/>
    <w:rsid w:val="00FD5591"/>
    <w:rsid w:val="00FF58E0"/>
    <w:rsid w:val="00FF5F1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3FD0"/>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0C33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iccas.gd/?q=about-iccas" TargetMode="External"/><Relationship Id="rId3" Type="http://schemas.openxmlformats.org/officeDocument/2006/relationships/styles" Target="styles.xml"/><Relationship Id="rId21" Type="http://schemas.openxmlformats.org/officeDocument/2006/relationships/hyperlink" Target="http://www.gov.gd/egov/news/2017/oct17/10_10_17/item_1/green-climate-fund-approves-readness-preparatory-support-programme-grenada.htm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davidasimmons@outlook.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daptation-undp.org/projects/japan-caribbean-climate-change-partn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vidAsimmons@outlook.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reenclimate.fund/-/climate-resilient-water-sector-in-grenada-g-crew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0641-D1B5-45A0-93F5-0E1D9A98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12</cp:revision>
  <cp:lastPrinted>2018-03-31T18:33:00Z</cp:lastPrinted>
  <dcterms:created xsi:type="dcterms:W3CDTF">2018-06-05T05:00:00Z</dcterms:created>
  <dcterms:modified xsi:type="dcterms:W3CDTF">2018-06-08T11:54:00Z</dcterms:modified>
</cp:coreProperties>
</file>