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F592" w14:textId="77777777" w:rsidR="009F6A04" w:rsidRDefault="009F6A04" w:rsidP="009F6A04">
      <w:bookmarkStart w:id="0" w:name="_Hlk516113353"/>
      <w:bookmarkEnd w:id="0"/>
      <w:r>
        <w:rPr>
          <w:noProof/>
        </w:rPr>
        <w:drawing>
          <wp:anchor distT="0" distB="0" distL="114300" distR="114300" simplePos="0" relativeHeight="251659264" behindDoc="0" locked="0" layoutInCell="1" allowOverlap="1" wp14:anchorId="7458D6F2" wp14:editId="0F3AF66E">
            <wp:simplePos x="0" y="0"/>
            <wp:positionH relativeFrom="column">
              <wp:posOffset>914400</wp:posOffset>
            </wp:positionH>
            <wp:positionV relativeFrom="paragraph">
              <wp:posOffset>346710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0C9ED1" wp14:editId="5335B55B">
            <wp:simplePos x="0" y="0"/>
            <wp:positionH relativeFrom="column">
              <wp:posOffset>4038600</wp:posOffset>
            </wp:positionH>
            <wp:positionV relativeFrom="paragraph">
              <wp:posOffset>346075</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E7B4072" wp14:editId="69642DD4">
            <wp:simplePos x="0" y="0"/>
            <wp:positionH relativeFrom="column">
              <wp:posOffset>-314325</wp:posOffset>
            </wp:positionH>
            <wp:positionV relativeFrom="paragraph">
              <wp:posOffset>28575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4D7AA806" w14:textId="77777777" w:rsidR="009F6A04" w:rsidRDefault="009F6A04" w:rsidP="009F6A04"/>
    <w:p w14:paraId="758CBAAE"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32E29082" w14:textId="77777777" w:rsidR="009F6A04" w:rsidRDefault="009F6A04" w:rsidP="009F6A04">
      <w:pPr>
        <w:autoSpaceDE w:val="0"/>
        <w:autoSpaceDN w:val="0"/>
        <w:adjustRightInd w:val="0"/>
        <w:spacing w:after="0" w:line="240" w:lineRule="auto"/>
        <w:rPr>
          <w:sz w:val="24"/>
          <w:szCs w:val="24"/>
        </w:rPr>
      </w:pPr>
    </w:p>
    <w:p w14:paraId="38CEA943" w14:textId="77777777" w:rsidR="009F6A04" w:rsidRDefault="009F6A04" w:rsidP="009F6A04">
      <w:pPr>
        <w:autoSpaceDE w:val="0"/>
        <w:autoSpaceDN w:val="0"/>
        <w:adjustRightInd w:val="0"/>
        <w:spacing w:after="0" w:line="240" w:lineRule="auto"/>
        <w:rPr>
          <w:sz w:val="24"/>
          <w:szCs w:val="24"/>
        </w:rPr>
      </w:pPr>
    </w:p>
    <w:p w14:paraId="6B40479A" w14:textId="77777777" w:rsidR="009F6A04" w:rsidRDefault="009F6A04" w:rsidP="009F6A04">
      <w:pPr>
        <w:autoSpaceDE w:val="0"/>
        <w:autoSpaceDN w:val="0"/>
        <w:adjustRightInd w:val="0"/>
        <w:spacing w:after="0" w:line="240" w:lineRule="auto"/>
        <w:rPr>
          <w:sz w:val="24"/>
          <w:szCs w:val="24"/>
        </w:rPr>
      </w:pPr>
    </w:p>
    <w:p w14:paraId="1C07DE1A" w14:textId="77777777" w:rsidR="009F6A04" w:rsidRDefault="009F6A04" w:rsidP="009F6A04">
      <w:pPr>
        <w:jc w:val="center"/>
        <w:rPr>
          <w:b/>
          <w:bCs/>
          <w:sz w:val="23"/>
          <w:szCs w:val="23"/>
        </w:rPr>
      </w:pPr>
    </w:p>
    <w:p w14:paraId="74E0485C" w14:textId="77777777" w:rsidR="009F6A04" w:rsidRDefault="009F6A04" w:rsidP="009F6A04">
      <w:pPr>
        <w:jc w:val="center"/>
        <w:rPr>
          <w:b/>
          <w:bCs/>
          <w:sz w:val="23"/>
          <w:szCs w:val="23"/>
        </w:rPr>
      </w:pPr>
    </w:p>
    <w:p w14:paraId="5B44E51C" w14:textId="77777777" w:rsidR="009F6A04" w:rsidRDefault="004372B7" w:rsidP="009F6A04">
      <w:pPr>
        <w:jc w:val="center"/>
        <w:rPr>
          <w:b/>
          <w:bCs/>
          <w:sz w:val="32"/>
          <w:szCs w:val="32"/>
        </w:rPr>
      </w:pPr>
      <w:r>
        <w:rPr>
          <w:b/>
          <w:bCs/>
          <w:sz w:val="32"/>
          <w:szCs w:val="32"/>
        </w:rPr>
        <w:t>THEMATIC REPORT</w:t>
      </w:r>
      <w:r w:rsidR="009F6A04">
        <w:rPr>
          <w:b/>
          <w:bCs/>
          <w:sz w:val="32"/>
          <w:szCs w:val="32"/>
        </w:rPr>
        <w:t>: ICCAS PROJECT</w:t>
      </w:r>
    </w:p>
    <w:p w14:paraId="7D164E64" w14:textId="77777777" w:rsidR="008C3916" w:rsidRDefault="008C3916" w:rsidP="009F6A04">
      <w:pPr>
        <w:jc w:val="center"/>
        <w:rPr>
          <w:b/>
          <w:bCs/>
          <w:sz w:val="32"/>
          <w:szCs w:val="32"/>
        </w:rPr>
      </w:pPr>
    </w:p>
    <w:p w14:paraId="5BCA4FC2" w14:textId="77777777" w:rsidR="00B145BD" w:rsidRDefault="00B15635" w:rsidP="009F6A04">
      <w:pPr>
        <w:spacing w:after="0"/>
        <w:jc w:val="center"/>
        <w:rPr>
          <w:b/>
          <w:bCs/>
          <w:sz w:val="32"/>
          <w:szCs w:val="32"/>
        </w:rPr>
      </w:pPr>
      <w:r w:rsidRPr="00B15635">
        <w:rPr>
          <w:b/>
          <w:bCs/>
          <w:sz w:val="32"/>
          <w:szCs w:val="32"/>
        </w:rPr>
        <w:t>Education</w:t>
      </w:r>
      <w:r w:rsidR="00B145BD">
        <w:rPr>
          <w:b/>
          <w:bCs/>
          <w:sz w:val="32"/>
          <w:szCs w:val="32"/>
        </w:rPr>
        <w:t xml:space="preserve"> &amp; Communication</w:t>
      </w:r>
    </w:p>
    <w:p w14:paraId="7B62A202" w14:textId="77777777" w:rsidR="00B15635" w:rsidRDefault="00B15635" w:rsidP="009F6A04">
      <w:pPr>
        <w:spacing w:after="0"/>
        <w:jc w:val="center"/>
        <w:rPr>
          <w:b/>
          <w:bCs/>
          <w:i/>
          <w:sz w:val="32"/>
          <w:szCs w:val="32"/>
        </w:rPr>
      </w:pPr>
      <w:r w:rsidRPr="00B15635">
        <w:rPr>
          <w:b/>
          <w:bCs/>
          <w:i/>
          <w:sz w:val="32"/>
          <w:szCs w:val="32"/>
        </w:rPr>
        <w:t>Raising Awareness of Climate Change and Adaptation Strategies</w:t>
      </w:r>
    </w:p>
    <w:p w14:paraId="11EE3372" w14:textId="77777777" w:rsidR="002B5E91" w:rsidRPr="00793B79" w:rsidRDefault="002B5E91" w:rsidP="009F6A04">
      <w:pPr>
        <w:spacing w:after="0"/>
        <w:jc w:val="center"/>
        <w:rPr>
          <w:b/>
          <w:bCs/>
          <w:sz w:val="32"/>
          <w:szCs w:val="32"/>
        </w:rPr>
      </w:pPr>
    </w:p>
    <w:p w14:paraId="7A3854AF" w14:textId="77777777" w:rsidR="009F6A04" w:rsidRPr="00FD380D" w:rsidRDefault="002B5E91" w:rsidP="00793B79">
      <w:pPr>
        <w:spacing w:after="0"/>
        <w:jc w:val="center"/>
        <w:rPr>
          <w:b/>
          <w:sz w:val="28"/>
          <w:szCs w:val="28"/>
        </w:rPr>
      </w:pPr>
      <w:r w:rsidRPr="002B5E91">
        <w:rPr>
          <w:b/>
          <w:noProof/>
          <w:sz w:val="28"/>
          <w:szCs w:val="28"/>
        </w:rPr>
        <w:drawing>
          <wp:inline distT="0" distB="0" distL="0" distR="0" wp14:anchorId="433F04BE" wp14:editId="63A5C7FC">
            <wp:extent cx="5265420" cy="29617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1573" cy="2965260"/>
                    </a:xfrm>
                    <a:prstGeom prst="rect">
                      <a:avLst/>
                    </a:prstGeom>
                  </pic:spPr>
                </pic:pic>
              </a:graphicData>
            </a:graphic>
          </wp:inline>
        </w:drawing>
      </w:r>
    </w:p>
    <w:p w14:paraId="5E15A739" w14:textId="77777777" w:rsidR="009F6A04" w:rsidRPr="00FD380D" w:rsidRDefault="009F6A04" w:rsidP="009F6A04">
      <w:pPr>
        <w:spacing w:after="0"/>
        <w:jc w:val="center"/>
        <w:rPr>
          <w:b/>
          <w:sz w:val="28"/>
          <w:szCs w:val="28"/>
        </w:rPr>
      </w:pPr>
    </w:p>
    <w:p w14:paraId="7FBD140A" w14:textId="77777777" w:rsidR="009F6A04" w:rsidRDefault="009F6A04" w:rsidP="009F6A04">
      <w:pPr>
        <w:spacing w:after="0"/>
        <w:jc w:val="center"/>
        <w:rPr>
          <w:b/>
          <w:sz w:val="28"/>
          <w:szCs w:val="28"/>
        </w:rPr>
      </w:pPr>
      <w:r>
        <w:rPr>
          <w:b/>
          <w:sz w:val="28"/>
          <w:szCs w:val="28"/>
        </w:rPr>
        <w:t xml:space="preserve">Submitted </w:t>
      </w:r>
    </w:p>
    <w:p w14:paraId="13B6B7C6" w14:textId="77777777" w:rsidR="009F6A04" w:rsidRDefault="009F6A04" w:rsidP="009F6A04">
      <w:pPr>
        <w:jc w:val="center"/>
      </w:pPr>
      <w:r>
        <w:t>By</w:t>
      </w:r>
    </w:p>
    <w:p w14:paraId="63B4EF62" w14:textId="77777777" w:rsidR="009F6A04" w:rsidRDefault="009F6A04" w:rsidP="009F6A04">
      <w:pPr>
        <w:spacing w:after="0"/>
        <w:jc w:val="center"/>
        <w:rPr>
          <w:b/>
          <w:sz w:val="28"/>
          <w:szCs w:val="28"/>
        </w:rPr>
      </w:pPr>
      <w:r>
        <w:rPr>
          <w:b/>
          <w:sz w:val="28"/>
          <w:szCs w:val="28"/>
        </w:rPr>
        <w:t>David A. Simmons</w:t>
      </w:r>
    </w:p>
    <w:p w14:paraId="2F50753E" w14:textId="77777777" w:rsidR="009F6A04" w:rsidRDefault="009F6A04" w:rsidP="009F6A04">
      <w:pPr>
        <w:spacing w:after="0"/>
        <w:jc w:val="center"/>
      </w:pPr>
      <w:r>
        <w:t>92A Benjamin St., Diego Martin</w:t>
      </w:r>
    </w:p>
    <w:p w14:paraId="3CAEA1EB" w14:textId="77777777" w:rsidR="009F6A04" w:rsidRDefault="009F6A04" w:rsidP="009F6A04">
      <w:pPr>
        <w:jc w:val="center"/>
      </w:pPr>
      <w:r>
        <w:t>Trinidad and Tobago</w:t>
      </w:r>
    </w:p>
    <w:p w14:paraId="12867869" w14:textId="77777777" w:rsidR="009F6A04" w:rsidRPr="009F6A04" w:rsidRDefault="009F6A04" w:rsidP="009F6A04">
      <w:pPr>
        <w:jc w:val="center"/>
        <w:rPr>
          <w:b/>
        </w:rPr>
        <w:sectPr w:rsidR="009F6A04" w:rsidRPr="009F6A04" w:rsidSect="008A1A30">
          <w:footerReference w:type="default" r:id="rId12"/>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3" w:history="1">
        <w:r>
          <w:rPr>
            <w:rStyle w:val="Hyperlink"/>
            <w:b/>
          </w:rPr>
          <w:t>davidAsimmons@outlook.com</w:t>
        </w:r>
      </w:hyperlink>
    </w:p>
    <w:tbl>
      <w:tblPr>
        <w:tblStyle w:val="TableGrid"/>
        <w:tblW w:w="0" w:type="auto"/>
        <w:tblLook w:val="04A0" w:firstRow="1" w:lastRow="0" w:firstColumn="1" w:lastColumn="0" w:noHBand="0" w:noVBand="1"/>
      </w:tblPr>
      <w:tblGrid>
        <w:gridCol w:w="3055"/>
        <w:gridCol w:w="2880"/>
        <w:gridCol w:w="1350"/>
        <w:gridCol w:w="2611"/>
      </w:tblGrid>
      <w:tr w:rsidR="00F24233" w14:paraId="06B7B518" w14:textId="77777777" w:rsidTr="00547148">
        <w:tc>
          <w:tcPr>
            <w:tcW w:w="9896" w:type="dxa"/>
            <w:gridSpan w:val="4"/>
          </w:tcPr>
          <w:p w14:paraId="4BC604EC"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66D33738" w14:textId="77777777" w:rsidTr="00547148">
        <w:tc>
          <w:tcPr>
            <w:tcW w:w="5935" w:type="dxa"/>
            <w:gridSpan w:val="2"/>
          </w:tcPr>
          <w:p w14:paraId="50AB07A6" w14:textId="77777777" w:rsidR="00F24233" w:rsidRPr="00522C59" w:rsidRDefault="00B02FE9" w:rsidP="00F24233">
            <w:pPr>
              <w:pStyle w:val="Default"/>
              <w:rPr>
                <w:b/>
                <w:bCs/>
                <w:sz w:val="22"/>
                <w:szCs w:val="22"/>
              </w:rPr>
            </w:pPr>
            <w:r w:rsidRPr="00522C59">
              <w:rPr>
                <w:b/>
                <w:bCs/>
                <w:sz w:val="22"/>
                <w:szCs w:val="22"/>
              </w:rPr>
              <w:t>Thematic Area</w:t>
            </w:r>
            <w:r w:rsidR="00F24233" w:rsidRPr="00522C59">
              <w:rPr>
                <w:b/>
                <w:bCs/>
                <w:sz w:val="22"/>
                <w:szCs w:val="22"/>
              </w:rPr>
              <w:t>:</w:t>
            </w:r>
            <w:r w:rsidR="00194546" w:rsidRPr="001F3E8C">
              <w:rPr>
                <w:bCs/>
                <w:sz w:val="22"/>
                <w:szCs w:val="22"/>
              </w:rPr>
              <w:t xml:space="preserve"> </w:t>
            </w:r>
            <w:r w:rsidR="001F3E8C" w:rsidRPr="001F3E8C">
              <w:rPr>
                <w:bCs/>
                <w:sz w:val="22"/>
                <w:szCs w:val="22"/>
              </w:rPr>
              <w:t>Climate Change Education &amp; Awareness</w:t>
            </w:r>
          </w:p>
        </w:tc>
        <w:tc>
          <w:tcPr>
            <w:tcW w:w="3961" w:type="dxa"/>
            <w:gridSpan w:val="2"/>
          </w:tcPr>
          <w:p w14:paraId="4C515268" w14:textId="77777777" w:rsidR="00F24233" w:rsidRPr="00522C59" w:rsidRDefault="00194546" w:rsidP="00F24233">
            <w:pPr>
              <w:pStyle w:val="Default"/>
              <w:rPr>
                <w:b/>
                <w:bCs/>
                <w:sz w:val="22"/>
                <w:szCs w:val="22"/>
              </w:rPr>
            </w:pPr>
            <w:r w:rsidRPr="00522C59">
              <w:rPr>
                <w:b/>
                <w:bCs/>
                <w:sz w:val="22"/>
                <w:szCs w:val="22"/>
              </w:rPr>
              <w:t>Period</w:t>
            </w:r>
            <w:r w:rsidR="00F24233" w:rsidRPr="00522C59">
              <w:rPr>
                <w:b/>
                <w:bCs/>
                <w:sz w:val="22"/>
                <w:szCs w:val="22"/>
              </w:rPr>
              <w:t>:</w:t>
            </w:r>
            <w:r w:rsidRPr="00522C59">
              <w:rPr>
                <w:b/>
                <w:bCs/>
                <w:sz w:val="22"/>
                <w:szCs w:val="22"/>
              </w:rPr>
              <w:t xml:space="preserve"> </w:t>
            </w:r>
            <w:r w:rsidRPr="00522C59">
              <w:rPr>
                <w:bCs/>
                <w:sz w:val="22"/>
                <w:szCs w:val="22"/>
              </w:rPr>
              <w:t xml:space="preserve">January 2016 – </w:t>
            </w:r>
            <w:r w:rsidR="00711DEA" w:rsidRPr="00522C59">
              <w:rPr>
                <w:bCs/>
                <w:sz w:val="22"/>
                <w:szCs w:val="22"/>
              </w:rPr>
              <w:t>August 2017</w:t>
            </w:r>
          </w:p>
        </w:tc>
      </w:tr>
      <w:tr w:rsidR="00F24233" w14:paraId="530AF136" w14:textId="77777777" w:rsidTr="00547148">
        <w:tc>
          <w:tcPr>
            <w:tcW w:w="9896" w:type="dxa"/>
            <w:gridSpan w:val="4"/>
          </w:tcPr>
          <w:p w14:paraId="4FFA5E92" w14:textId="77777777" w:rsidR="00F24233" w:rsidRPr="00522C59" w:rsidRDefault="00F24233" w:rsidP="00F24233">
            <w:pPr>
              <w:pStyle w:val="Default"/>
              <w:jc w:val="center"/>
              <w:rPr>
                <w:b/>
                <w:bCs/>
                <w:sz w:val="22"/>
                <w:szCs w:val="22"/>
              </w:rPr>
            </w:pPr>
            <w:r w:rsidRPr="00522C59">
              <w:rPr>
                <w:b/>
                <w:bCs/>
                <w:sz w:val="22"/>
                <w:szCs w:val="22"/>
              </w:rPr>
              <w:t>IMPLEMENTING AGENCIES</w:t>
            </w:r>
          </w:p>
        </w:tc>
      </w:tr>
      <w:tr w:rsidR="00F24233" w14:paraId="1647D3D5" w14:textId="77777777" w:rsidTr="00522C59">
        <w:tc>
          <w:tcPr>
            <w:tcW w:w="3055" w:type="dxa"/>
          </w:tcPr>
          <w:p w14:paraId="65D48D37" w14:textId="77777777" w:rsidR="00F24233" w:rsidRPr="00522C59" w:rsidRDefault="00F24233" w:rsidP="00F24233">
            <w:pPr>
              <w:pStyle w:val="Default"/>
              <w:rPr>
                <w:b/>
                <w:bCs/>
                <w:sz w:val="22"/>
                <w:szCs w:val="22"/>
              </w:rPr>
            </w:pPr>
            <w:r w:rsidRPr="00522C59">
              <w:rPr>
                <w:sz w:val="22"/>
                <w:szCs w:val="22"/>
              </w:rPr>
              <w:t>United National Development Programme (UNDP)</w:t>
            </w:r>
          </w:p>
        </w:tc>
        <w:tc>
          <w:tcPr>
            <w:tcW w:w="4230" w:type="dxa"/>
            <w:gridSpan w:val="2"/>
          </w:tcPr>
          <w:p w14:paraId="263A66B3" w14:textId="77777777" w:rsidR="00F24233" w:rsidRPr="00A34A9B" w:rsidRDefault="00A34A9B" w:rsidP="00F24233">
            <w:pPr>
              <w:ind w:right="75"/>
              <w:rPr>
                <w:bCs/>
              </w:rPr>
            </w:pPr>
            <w:r w:rsidRPr="00A34A9B">
              <w:rPr>
                <w:bCs/>
              </w:rPr>
              <w:t>The Environment Unit of the Ministry of Agriculture, Lands, Forestry, Fisheries and the Environment</w:t>
            </w:r>
          </w:p>
        </w:tc>
        <w:tc>
          <w:tcPr>
            <w:tcW w:w="2611" w:type="dxa"/>
          </w:tcPr>
          <w:p w14:paraId="2982B433" w14:textId="77777777" w:rsidR="00F24233" w:rsidRPr="00522C59" w:rsidRDefault="00F24233" w:rsidP="00F24233">
            <w:pPr>
              <w:ind w:right="76"/>
              <w:rPr>
                <w:b/>
                <w:bCs/>
              </w:rPr>
            </w:pPr>
            <w:r w:rsidRPr="00522C59">
              <w:t>German Development Cooperation (GIZ)</w:t>
            </w:r>
            <w:r w:rsidR="00F3302A" w:rsidRPr="00522C59">
              <w:t>, BMUB</w:t>
            </w:r>
          </w:p>
        </w:tc>
      </w:tr>
    </w:tbl>
    <w:p w14:paraId="5C965AE8" w14:textId="77777777" w:rsidR="000F5752" w:rsidRDefault="000F5752" w:rsidP="005117C6">
      <w:pPr>
        <w:rPr>
          <w:b/>
        </w:rPr>
        <w:sectPr w:rsidR="000F5752" w:rsidSect="001F3E8C">
          <w:pgSz w:w="12240" w:h="16340"/>
          <w:pgMar w:top="1440" w:right="864" w:bottom="1296" w:left="1008" w:header="720" w:footer="720" w:gutter="0"/>
          <w:pgNumType w:fmt="numberInDash" w:start="1"/>
          <w:cols w:space="720"/>
          <w:noEndnote/>
          <w:docGrid w:linePitch="299"/>
        </w:sectPr>
      </w:pPr>
    </w:p>
    <w:tbl>
      <w:tblPr>
        <w:tblStyle w:val="TableGrid1"/>
        <w:tblW w:w="0" w:type="auto"/>
        <w:tblLook w:val="04A0" w:firstRow="1" w:lastRow="0" w:firstColumn="1" w:lastColumn="0" w:noHBand="0" w:noVBand="1"/>
      </w:tblPr>
      <w:tblGrid>
        <w:gridCol w:w="2418"/>
        <w:gridCol w:w="7567"/>
      </w:tblGrid>
      <w:tr w:rsidR="00B02FE9" w:rsidRPr="00B02FE9" w14:paraId="03AF8258" w14:textId="77777777" w:rsidTr="001F3E8C">
        <w:tc>
          <w:tcPr>
            <w:tcW w:w="2418" w:type="dxa"/>
          </w:tcPr>
          <w:p w14:paraId="0F2A6FE5" w14:textId="77777777" w:rsidR="00B02FE9" w:rsidRPr="00522C59" w:rsidRDefault="00B02FE9" w:rsidP="005117C6">
            <w:pPr>
              <w:spacing w:line="259" w:lineRule="auto"/>
              <w:rPr>
                <w:b/>
              </w:rPr>
            </w:pPr>
            <w:r w:rsidRPr="00522C59">
              <w:rPr>
                <w:b/>
              </w:rPr>
              <w:t>Context</w:t>
            </w:r>
          </w:p>
        </w:tc>
        <w:tc>
          <w:tcPr>
            <w:tcW w:w="7567" w:type="dxa"/>
          </w:tcPr>
          <w:p w14:paraId="6A135019" w14:textId="77777777" w:rsidR="004B05DF" w:rsidRDefault="00214449" w:rsidP="00381175">
            <w:pPr>
              <w:pStyle w:val="Default"/>
              <w:jc w:val="both"/>
              <w:rPr>
                <w:bCs/>
                <w:sz w:val="22"/>
                <w:szCs w:val="22"/>
              </w:rPr>
            </w:pPr>
            <w:r w:rsidRPr="00214449">
              <w:rPr>
                <w:bCs/>
                <w:sz w:val="22"/>
                <w:szCs w:val="22"/>
              </w:rPr>
              <w:t xml:space="preserve">The objective of the ICCAS programme was to enhance the resilience of Grenada’s population and its ecosystems that are particularly vulnerable to the effects of climate change. </w:t>
            </w:r>
            <w:r w:rsidR="006316AB">
              <w:rPr>
                <w:bCs/>
                <w:sz w:val="22"/>
                <w:szCs w:val="22"/>
              </w:rPr>
              <w:t xml:space="preserve">Component </w:t>
            </w:r>
            <w:r w:rsidR="00314357">
              <w:rPr>
                <w:bCs/>
                <w:sz w:val="22"/>
                <w:szCs w:val="22"/>
              </w:rPr>
              <w:t>4.</w:t>
            </w:r>
            <w:r w:rsidR="00B15635">
              <w:rPr>
                <w:bCs/>
                <w:sz w:val="22"/>
                <w:szCs w:val="22"/>
              </w:rPr>
              <w:t>2</w:t>
            </w:r>
            <w:r w:rsidR="006316AB">
              <w:rPr>
                <w:bCs/>
                <w:sz w:val="22"/>
                <w:szCs w:val="22"/>
              </w:rPr>
              <w:t xml:space="preserve"> of ICCAS </w:t>
            </w:r>
            <w:r w:rsidR="00314357">
              <w:rPr>
                <w:bCs/>
                <w:sz w:val="22"/>
                <w:szCs w:val="22"/>
              </w:rPr>
              <w:t>focuses</w:t>
            </w:r>
            <w:r w:rsidR="00B15635">
              <w:rPr>
                <w:bCs/>
                <w:sz w:val="22"/>
                <w:szCs w:val="22"/>
              </w:rPr>
              <w:t xml:space="preserve"> on strengthened understanding and awareness of climate change risks</w:t>
            </w:r>
            <w:r w:rsidR="004B05DF">
              <w:rPr>
                <w:bCs/>
                <w:sz w:val="22"/>
                <w:szCs w:val="22"/>
              </w:rPr>
              <w:t>.</w:t>
            </w:r>
            <w:r w:rsidR="00C52C99">
              <w:rPr>
                <w:bCs/>
                <w:sz w:val="22"/>
                <w:szCs w:val="22"/>
              </w:rPr>
              <w:t xml:space="preserve"> The research done on the Grenadian populations knowledge attitudes and practices </w:t>
            </w:r>
            <w:r w:rsidR="001B57E1">
              <w:rPr>
                <w:bCs/>
                <w:sz w:val="22"/>
                <w:szCs w:val="22"/>
              </w:rPr>
              <w:t>about</w:t>
            </w:r>
            <w:r w:rsidR="00C52C99">
              <w:rPr>
                <w:bCs/>
                <w:sz w:val="22"/>
                <w:szCs w:val="22"/>
              </w:rPr>
              <w:t xml:space="preserve"> climate change suggests very low performance on all indices.</w:t>
            </w:r>
            <w:r w:rsidR="000A21A2">
              <w:t xml:space="preserve"> </w:t>
            </w:r>
            <w:r w:rsidR="00A875A0">
              <w:rPr>
                <w:bCs/>
                <w:sz w:val="22"/>
                <w:szCs w:val="22"/>
              </w:rPr>
              <w:t>Many Grenadians</w:t>
            </w:r>
            <w:r w:rsidR="000A21A2" w:rsidRPr="000A21A2">
              <w:rPr>
                <w:bCs/>
                <w:sz w:val="22"/>
                <w:szCs w:val="22"/>
              </w:rPr>
              <w:t xml:space="preserve"> still do not</w:t>
            </w:r>
            <w:r w:rsidR="00A875A0">
              <w:rPr>
                <w:bCs/>
                <w:sz w:val="22"/>
                <w:szCs w:val="22"/>
              </w:rPr>
              <w:t xml:space="preserve"> </w:t>
            </w:r>
            <w:r w:rsidR="000A21A2" w:rsidRPr="000A21A2">
              <w:rPr>
                <w:bCs/>
                <w:sz w:val="22"/>
                <w:szCs w:val="22"/>
              </w:rPr>
              <w:t xml:space="preserve">understand the link between the </w:t>
            </w:r>
            <w:r w:rsidR="00A875A0">
              <w:rPr>
                <w:bCs/>
                <w:sz w:val="22"/>
                <w:szCs w:val="22"/>
              </w:rPr>
              <w:t xml:space="preserve">climate change </w:t>
            </w:r>
            <w:r w:rsidR="000A21A2" w:rsidRPr="000A21A2">
              <w:rPr>
                <w:bCs/>
                <w:sz w:val="22"/>
                <w:szCs w:val="22"/>
              </w:rPr>
              <w:t>impact</w:t>
            </w:r>
            <w:r w:rsidR="00A875A0">
              <w:rPr>
                <w:bCs/>
                <w:sz w:val="22"/>
                <w:szCs w:val="22"/>
              </w:rPr>
              <w:t>s</w:t>
            </w:r>
            <w:r w:rsidR="000A21A2" w:rsidRPr="000A21A2">
              <w:rPr>
                <w:bCs/>
                <w:sz w:val="22"/>
                <w:szCs w:val="22"/>
              </w:rPr>
              <w:t xml:space="preserve"> they feel, climate</w:t>
            </w:r>
            <w:r w:rsidR="00A875A0">
              <w:rPr>
                <w:bCs/>
                <w:sz w:val="22"/>
                <w:szCs w:val="22"/>
              </w:rPr>
              <w:t xml:space="preserve"> </w:t>
            </w:r>
            <w:r w:rsidR="000A21A2" w:rsidRPr="000A21A2">
              <w:rPr>
                <w:bCs/>
                <w:sz w:val="22"/>
                <w:szCs w:val="22"/>
              </w:rPr>
              <w:t>change and what they can do to be less vulnerable</w:t>
            </w:r>
            <w:r w:rsidR="00C52C99">
              <w:rPr>
                <w:bCs/>
                <w:sz w:val="22"/>
                <w:szCs w:val="22"/>
              </w:rPr>
              <w:t xml:space="preserve"> This </w:t>
            </w:r>
            <w:r w:rsidR="00A875A0">
              <w:rPr>
                <w:bCs/>
                <w:sz w:val="22"/>
                <w:szCs w:val="22"/>
              </w:rPr>
              <w:t>means</w:t>
            </w:r>
            <w:r w:rsidR="00C52C99">
              <w:rPr>
                <w:bCs/>
                <w:sz w:val="22"/>
                <w:szCs w:val="22"/>
              </w:rPr>
              <w:t xml:space="preserve"> that </w:t>
            </w:r>
            <w:r w:rsidR="00381175">
              <w:rPr>
                <w:bCs/>
                <w:sz w:val="22"/>
                <w:szCs w:val="22"/>
              </w:rPr>
              <w:t>to integrate</w:t>
            </w:r>
            <w:r w:rsidR="00C52C99">
              <w:rPr>
                <w:bCs/>
                <w:sz w:val="22"/>
                <w:szCs w:val="22"/>
              </w:rPr>
              <w:t xml:space="preserve"> climate change adaptation and resilience into the Grenadian society education and awareness building would need to be a key component of the ICCAS program.</w:t>
            </w:r>
            <w:r w:rsidR="004B05DF">
              <w:rPr>
                <w:bCs/>
                <w:sz w:val="22"/>
                <w:szCs w:val="22"/>
              </w:rPr>
              <w:t xml:space="preserve"> </w:t>
            </w:r>
            <w:r w:rsidR="00D133B8">
              <w:rPr>
                <w:bCs/>
                <w:sz w:val="22"/>
                <w:szCs w:val="22"/>
              </w:rPr>
              <w:t>This was done in several ways including:</w:t>
            </w:r>
          </w:p>
          <w:p w14:paraId="01F4B9DC" w14:textId="77777777" w:rsidR="00D133B8" w:rsidRDefault="00D133B8" w:rsidP="001F3E8C">
            <w:pPr>
              <w:pStyle w:val="Default"/>
              <w:numPr>
                <w:ilvl w:val="0"/>
                <w:numId w:val="36"/>
              </w:numPr>
              <w:ind w:left="616" w:hanging="256"/>
              <w:jc w:val="both"/>
              <w:rPr>
                <w:bCs/>
                <w:sz w:val="22"/>
                <w:szCs w:val="22"/>
              </w:rPr>
            </w:pPr>
            <w:r>
              <w:rPr>
                <w:bCs/>
                <w:sz w:val="22"/>
                <w:szCs w:val="22"/>
              </w:rPr>
              <w:t>Projects where the main focus was to educate or raise awareness</w:t>
            </w:r>
          </w:p>
          <w:p w14:paraId="248ADA2E" w14:textId="77777777" w:rsidR="00D133B8" w:rsidRDefault="00D133B8" w:rsidP="001F3E8C">
            <w:pPr>
              <w:pStyle w:val="Default"/>
              <w:numPr>
                <w:ilvl w:val="0"/>
                <w:numId w:val="36"/>
              </w:numPr>
              <w:ind w:left="616" w:hanging="256"/>
              <w:jc w:val="both"/>
              <w:rPr>
                <w:bCs/>
                <w:sz w:val="22"/>
                <w:szCs w:val="22"/>
              </w:rPr>
            </w:pPr>
            <w:r>
              <w:rPr>
                <w:bCs/>
                <w:sz w:val="22"/>
                <w:szCs w:val="22"/>
              </w:rPr>
              <w:t>Add on training and education components to projects focusing on other areas in the ICCAS framework</w:t>
            </w:r>
          </w:p>
          <w:p w14:paraId="7DE0E576" w14:textId="77777777" w:rsidR="00B02FE9" w:rsidRDefault="00D133B8" w:rsidP="001F3E8C">
            <w:pPr>
              <w:pStyle w:val="Default"/>
              <w:numPr>
                <w:ilvl w:val="0"/>
                <w:numId w:val="36"/>
              </w:numPr>
              <w:ind w:left="616" w:hanging="256"/>
              <w:jc w:val="both"/>
              <w:rPr>
                <w:bCs/>
                <w:sz w:val="22"/>
                <w:szCs w:val="22"/>
              </w:rPr>
            </w:pPr>
            <w:r>
              <w:rPr>
                <w:bCs/>
                <w:sz w:val="22"/>
                <w:szCs w:val="22"/>
              </w:rPr>
              <w:t>Outreach into the community using a variety of media.</w:t>
            </w:r>
          </w:p>
          <w:p w14:paraId="37CFCD0A" w14:textId="77777777" w:rsidR="00916704" w:rsidRDefault="00916704" w:rsidP="001F3E8C">
            <w:pPr>
              <w:pStyle w:val="Default"/>
              <w:numPr>
                <w:ilvl w:val="0"/>
                <w:numId w:val="36"/>
              </w:numPr>
              <w:ind w:left="616" w:hanging="256"/>
              <w:jc w:val="both"/>
              <w:rPr>
                <w:bCs/>
                <w:sz w:val="22"/>
                <w:szCs w:val="22"/>
              </w:rPr>
            </w:pPr>
            <w:r>
              <w:rPr>
                <w:bCs/>
                <w:sz w:val="22"/>
                <w:szCs w:val="22"/>
              </w:rPr>
              <w:t xml:space="preserve">Use of non-traditional educational methods: </w:t>
            </w:r>
          </w:p>
          <w:p w14:paraId="39F9C523" w14:textId="77777777" w:rsidR="00916704" w:rsidRDefault="00916704" w:rsidP="001F3E8C">
            <w:pPr>
              <w:pStyle w:val="Default"/>
              <w:numPr>
                <w:ilvl w:val="1"/>
                <w:numId w:val="36"/>
              </w:numPr>
              <w:ind w:left="1066" w:hanging="270"/>
              <w:jc w:val="both"/>
              <w:rPr>
                <w:bCs/>
                <w:sz w:val="22"/>
                <w:szCs w:val="22"/>
              </w:rPr>
            </w:pPr>
            <w:r>
              <w:rPr>
                <w:bCs/>
                <w:sz w:val="22"/>
                <w:szCs w:val="22"/>
              </w:rPr>
              <w:t>Theatre Project</w:t>
            </w:r>
          </w:p>
          <w:p w14:paraId="3E0C94A6" w14:textId="77777777" w:rsidR="00916704" w:rsidRPr="00D133B8" w:rsidRDefault="00916704" w:rsidP="001F3E8C">
            <w:pPr>
              <w:pStyle w:val="Default"/>
              <w:numPr>
                <w:ilvl w:val="1"/>
                <w:numId w:val="36"/>
              </w:numPr>
              <w:ind w:left="1066" w:hanging="270"/>
              <w:jc w:val="both"/>
              <w:rPr>
                <w:bCs/>
                <w:sz w:val="22"/>
                <w:szCs w:val="22"/>
              </w:rPr>
            </w:pPr>
            <w:r>
              <w:rPr>
                <w:bCs/>
                <w:sz w:val="22"/>
                <w:szCs w:val="22"/>
              </w:rPr>
              <w:t>My School and You Project</w:t>
            </w:r>
          </w:p>
        </w:tc>
      </w:tr>
      <w:tr w:rsidR="00B02FE9" w:rsidRPr="00B02FE9" w14:paraId="57703E85" w14:textId="77777777" w:rsidTr="001F3E8C">
        <w:tc>
          <w:tcPr>
            <w:tcW w:w="2418" w:type="dxa"/>
          </w:tcPr>
          <w:p w14:paraId="7F281BDE" w14:textId="77777777" w:rsidR="00B02FE9" w:rsidRPr="00522C59" w:rsidRDefault="00D133B8" w:rsidP="00B02FE9">
            <w:pPr>
              <w:spacing w:line="259" w:lineRule="auto"/>
              <w:rPr>
                <w:b/>
              </w:rPr>
            </w:pPr>
            <w:r>
              <w:rPr>
                <w:b/>
              </w:rPr>
              <w:t>Projects:</w:t>
            </w:r>
            <w:r w:rsidR="00CA3E06">
              <w:rPr>
                <w:b/>
              </w:rPr>
              <w:t xml:space="preserve"> Background</w:t>
            </w:r>
          </w:p>
        </w:tc>
        <w:tc>
          <w:tcPr>
            <w:tcW w:w="7567" w:type="dxa"/>
          </w:tcPr>
          <w:p w14:paraId="40C212CD" w14:textId="77777777" w:rsidR="00B02FE9" w:rsidRDefault="000F5752" w:rsidP="001F3E8C">
            <w:pPr>
              <w:pStyle w:val="ListParagraph"/>
              <w:numPr>
                <w:ilvl w:val="0"/>
                <w:numId w:val="39"/>
              </w:numPr>
              <w:ind w:left="616" w:hanging="256"/>
              <w:rPr>
                <w:bCs/>
              </w:rPr>
            </w:pPr>
            <w:r w:rsidRPr="0012100D">
              <w:rPr>
                <w:bCs/>
              </w:rPr>
              <w:t>Climate Kids Adventures</w:t>
            </w:r>
          </w:p>
          <w:p w14:paraId="705825C0" w14:textId="77777777" w:rsidR="00290514" w:rsidRDefault="00290514" w:rsidP="001F3E8C">
            <w:pPr>
              <w:pStyle w:val="ListParagraph"/>
              <w:numPr>
                <w:ilvl w:val="1"/>
                <w:numId w:val="39"/>
              </w:numPr>
              <w:ind w:left="1066" w:hanging="256"/>
              <w:rPr>
                <w:bCs/>
              </w:rPr>
            </w:pPr>
            <w:r>
              <w:rPr>
                <w:bCs/>
              </w:rPr>
              <w:t>This project consisted of a baseline survey to quantify the knowledge of primary school children in the area of climate change.</w:t>
            </w:r>
          </w:p>
          <w:p w14:paraId="00AD2A72" w14:textId="77777777" w:rsidR="00290514" w:rsidRDefault="00290514" w:rsidP="001F3E8C">
            <w:pPr>
              <w:pStyle w:val="ListParagraph"/>
              <w:numPr>
                <w:ilvl w:val="1"/>
                <w:numId w:val="39"/>
              </w:numPr>
              <w:ind w:left="1066" w:hanging="256"/>
              <w:rPr>
                <w:bCs/>
              </w:rPr>
            </w:pPr>
            <w:r>
              <w:rPr>
                <w:bCs/>
              </w:rPr>
              <w:t>The development of two books and an associated</w:t>
            </w:r>
            <w:r w:rsidR="00381175">
              <w:rPr>
                <w:bCs/>
              </w:rPr>
              <w:t xml:space="preserve"> mobile</w:t>
            </w:r>
            <w:r>
              <w:rPr>
                <w:bCs/>
              </w:rPr>
              <w:t xml:space="preserve"> application </w:t>
            </w:r>
            <w:r w:rsidR="00381175">
              <w:rPr>
                <w:bCs/>
              </w:rPr>
              <w:t xml:space="preserve">(app) which reads the book and allows some limited interaction with characters.  The project </w:t>
            </w:r>
            <w:r>
              <w:rPr>
                <w:bCs/>
              </w:rPr>
              <w:t>targeted at children between the ages of 5-7 on climate change and climate change adaptation.</w:t>
            </w:r>
          </w:p>
          <w:p w14:paraId="0E41F5EA" w14:textId="77777777" w:rsidR="00290514" w:rsidRPr="0012100D" w:rsidRDefault="00290514" w:rsidP="001F3E8C">
            <w:pPr>
              <w:pStyle w:val="ListParagraph"/>
              <w:numPr>
                <w:ilvl w:val="1"/>
                <w:numId w:val="39"/>
              </w:numPr>
              <w:ind w:left="1066" w:hanging="256"/>
              <w:rPr>
                <w:bCs/>
              </w:rPr>
            </w:pPr>
            <w:r>
              <w:rPr>
                <w:bCs/>
              </w:rPr>
              <w:t>The distribution of the materials in all the primary schools in the country (including private schools)</w:t>
            </w:r>
          </w:p>
          <w:p w14:paraId="1383C2B7" w14:textId="2B1D53CD" w:rsidR="000F5752" w:rsidRDefault="00FE5C37" w:rsidP="001F3E8C">
            <w:pPr>
              <w:pStyle w:val="ListParagraph"/>
              <w:numPr>
                <w:ilvl w:val="0"/>
                <w:numId w:val="39"/>
              </w:numPr>
              <w:ind w:left="616" w:hanging="256"/>
              <w:rPr>
                <w:bCs/>
              </w:rPr>
            </w:pPr>
            <w:r>
              <w:rPr>
                <w:bCs/>
              </w:rPr>
              <w:t xml:space="preserve">Greenz </w:t>
            </w:r>
            <w:r w:rsidR="000F5752" w:rsidRPr="0012100D">
              <w:rPr>
                <w:bCs/>
              </w:rPr>
              <w:t>Climate Cha</w:t>
            </w:r>
            <w:r>
              <w:rPr>
                <w:bCs/>
              </w:rPr>
              <w:t>mpion</w:t>
            </w:r>
            <w:r w:rsidR="000F5752" w:rsidRPr="0012100D">
              <w:rPr>
                <w:bCs/>
              </w:rPr>
              <w:t xml:space="preserve"> Toolkit</w:t>
            </w:r>
            <w:bookmarkStart w:id="1" w:name="_GoBack"/>
            <w:bookmarkEnd w:id="1"/>
          </w:p>
          <w:p w14:paraId="40D1A801" w14:textId="77777777" w:rsidR="00FE5C37" w:rsidRDefault="00290514" w:rsidP="001F3E8C">
            <w:pPr>
              <w:pStyle w:val="ListParagraph"/>
              <w:numPr>
                <w:ilvl w:val="1"/>
                <w:numId w:val="39"/>
              </w:numPr>
              <w:ind w:left="1066" w:hanging="256"/>
              <w:rPr>
                <w:bCs/>
              </w:rPr>
            </w:pPr>
            <w:r>
              <w:rPr>
                <w:bCs/>
              </w:rPr>
              <w:t xml:space="preserve">This project was launched in June of 2016 and included </w:t>
            </w:r>
            <w:r w:rsidRPr="00290514">
              <w:rPr>
                <w:bCs/>
              </w:rPr>
              <w:t>of a teacher manual, a worksheet collection, student passports, stickers and posters. Grenadian illustrator Stacey Byer developed child-friendly images for each unit. To date, 400 posters and 900 student passports including sticker sets were delivered to primary schools.</w:t>
            </w:r>
          </w:p>
          <w:p w14:paraId="4627156D" w14:textId="77777777" w:rsidR="00290514" w:rsidRDefault="00290514" w:rsidP="001F3E8C">
            <w:pPr>
              <w:pStyle w:val="ListParagraph"/>
              <w:numPr>
                <w:ilvl w:val="1"/>
                <w:numId w:val="39"/>
              </w:numPr>
              <w:ind w:left="1066" w:hanging="256"/>
              <w:rPr>
                <w:bCs/>
              </w:rPr>
            </w:pPr>
            <w:r>
              <w:rPr>
                <w:bCs/>
              </w:rPr>
              <w:t>Teachers were given workshops in how to use the toolkits and integrate the topics into the school curriculum</w:t>
            </w:r>
          </w:p>
          <w:p w14:paraId="646DDDB2" w14:textId="77777777" w:rsidR="00290514" w:rsidRPr="0012100D" w:rsidRDefault="00290514" w:rsidP="001F3E8C">
            <w:pPr>
              <w:pStyle w:val="ListParagraph"/>
              <w:numPr>
                <w:ilvl w:val="1"/>
                <w:numId w:val="39"/>
              </w:numPr>
              <w:ind w:left="1066" w:hanging="256"/>
              <w:rPr>
                <w:bCs/>
              </w:rPr>
            </w:pPr>
            <w:r>
              <w:rPr>
                <w:bCs/>
              </w:rPr>
              <w:t>The project has been expanded to include a planned science fair with climate change adaptation as its focus</w:t>
            </w:r>
          </w:p>
          <w:p w14:paraId="65DEF377" w14:textId="77777777" w:rsidR="000F5752" w:rsidRPr="0012100D" w:rsidRDefault="000F5752" w:rsidP="001F3E8C">
            <w:pPr>
              <w:pStyle w:val="ListParagraph"/>
              <w:numPr>
                <w:ilvl w:val="0"/>
                <w:numId w:val="39"/>
              </w:numPr>
              <w:ind w:left="616" w:hanging="256"/>
              <w:rPr>
                <w:bCs/>
              </w:rPr>
            </w:pPr>
            <w:r w:rsidRPr="0012100D">
              <w:rPr>
                <w:bCs/>
              </w:rPr>
              <w:t xml:space="preserve">Education and awareness components in the </w:t>
            </w:r>
            <w:r w:rsidR="00D133B8" w:rsidRPr="0012100D">
              <w:rPr>
                <w:bCs/>
              </w:rPr>
              <w:t>funded</w:t>
            </w:r>
            <w:r w:rsidRPr="0012100D">
              <w:rPr>
                <w:bCs/>
              </w:rPr>
              <w:t xml:space="preserve"> project</w:t>
            </w:r>
            <w:r w:rsidR="00D133B8" w:rsidRPr="0012100D">
              <w:rPr>
                <w:bCs/>
              </w:rPr>
              <w:t>s</w:t>
            </w:r>
          </w:p>
          <w:p w14:paraId="352F1B76" w14:textId="77777777" w:rsidR="000F5752" w:rsidRPr="0012100D" w:rsidRDefault="000F5752" w:rsidP="001F3E8C">
            <w:pPr>
              <w:pStyle w:val="ListParagraph"/>
              <w:numPr>
                <w:ilvl w:val="0"/>
                <w:numId w:val="39"/>
              </w:numPr>
              <w:ind w:left="616" w:hanging="256"/>
              <w:rPr>
                <w:bCs/>
              </w:rPr>
            </w:pPr>
            <w:r w:rsidRPr="0012100D">
              <w:rPr>
                <w:bCs/>
              </w:rPr>
              <w:t xml:space="preserve">Outreach using </w:t>
            </w:r>
            <w:r w:rsidR="00D133B8" w:rsidRPr="0012100D">
              <w:rPr>
                <w:bCs/>
              </w:rPr>
              <w:t>various</w:t>
            </w:r>
            <w:r w:rsidRPr="0012100D">
              <w:rPr>
                <w:bCs/>
              </w:rPr>
              <w:t xml:space="preserve"> media</w:t>
            </w:r>
          </w:p>
          <w:p w14:paraId="6B3D41AD" w14:textId="77777777" w:rsidR="000F5752" w:rsidRPr="0012100D" w:rsidRDefault="000F5752" w:rsidP="001F3E8C">
            <w:pPr>
              <w:pStyle w:val="ListParagraph"/>
              <w:numPr>
                <w:ilvl w:val="0"/>
                <w:numId w:val="39"/>
              </w:numPr>
              <w:ind w:left="616" w:hanging="256"/>
              <w:rPr>
                <w:bCs/>
              </w:rPr>
            </w:pPr>
            <w:r w:rsidRPr="0012100D">
              <w:rPr>
                <w:bCs/>
              </w:rPr>
              <w:t>Outreach in the creative arts</w:t>
            </w:r>
          </w:p>
          <w:p w14:paraId="280D7273" w14:textId="77777777" w:rsidR="00916704" w:rsidRPr="00916704" w:rsidRDefault="00916704" w:rsidP="001F3E8C">
            <w:pPr>
              <w:tabs>
                <w:tab w:val="left" w:pos="1066"/>
              </w:tabs>
              <w:ind w:left="796"/>
              <w:rPr>
                <w:bCs/>
              </w:rPr>
            </w:pPr>
            <w:r w:rsidRPr="00916704">
              <w:rPr>
                <w:bCs/>
              </w:rPr>
              <w:t>a.</w:t>
            </w:r>
            <w:r w:rsidRPr="00916704">
              <w:rPr>
                <w:bCs/>
              </w:rPr>
              <w:tab/>
              <w:t>Theatre Project</w:t>
            </w:r>
          </w:p>
          <w:p w14:paraId="26EC6F22" w14:textId="77777777" w:rsidR="00916704" w:rsidRPr="00522C59" w:rsidRDefault="00916704" w:rsidP="001F3E8C">
            <w:pPr>
              <w:tabs>
                <w:tab w:val="left" w:pos="1066"/>
              </w:tabs>
              <w:ind w:left="796"/>
              <w:rPr>
                <w:bCs/>
              </w:rPr>
            </w:pPr>
            <w:r w:rsidRPr="00916704">
              <w:rPr>
                <w:bCs/>
              </w:rPr>
              <w:t>b.</w:t>
            </w:r>
            <w:r w:rsidRPr="00916704">
              <w:rPr>
                <w:bCs/>
              </w:rPr>
              <w:tab/>
              <w:t>My School and You Project</w:t>
            </w:r>
          </w:p>
        </w:tc>
      </w:tr>
    </w:tbl>
    <w:p w14:paraId="081B65FD" w14:textId="77777777" w:rsidR="000F5752" w:rsidRDefault="000F5752">
      <w:pPr>
        <w:rPr>
          <w:rFonts w:ascii="Calibri" w:hAnsi="Calibri" w:cs="Calibri"/>
          <w:b/>
          <w:color w:val="000000"/>
          <w:sz w:val="24"/>
          <w:szCs w:val="24"/>
        </w:rPr>
        <w:sectPr w:rsidR="000F5752" w:rsidSect="001F3E8C">
          <w:type w:val="continuous"/>
          <w:pgSz w:w="12240" w:h="16340"/>
          <w:pgMar w:top="1440" w:right="864" w:bottom="1296" w:left="1008" w:header="720" w:footer="720" w:gutter="0"/>
          <w:cols w:space="720"/>
          <w:noEndnote/>
          <w:docGrid w:linePitch="299"/>
        </w:sectPr>
      </w:pPr>
    </w:p>
    <w:p w14:paraId="1E243D14" w14:textId="77777777" w:rsidR="000F5752" w:rsidRDefault="000F5752">
      <w:pPr>
        <w:rPr>
          <w:rFonts w:ascii="Calibri" w:hAnsi="Calibri" w:cs="Calibri"/>
          <w:b/>
          <w:color w:val="000000"/>
          <w:sz w:val="24"/>
          <w:szCs w:val="24"/>
        </w:rPr>
        <w:sectPr w:rsidR="000F5752" w:rsidSect="00C97572">
          <w:type w:val="continuous"/>
          <w:pgSz w:w="12240" w:h="16340"/>
          <w:pgMar w:top="720" w:right="720" w:bottom="720" w:left="567" w:header="720" w:footer="720" w:gutter="0"/>
          <w:cols w:num="2" w:space="720"/>
          <w:noEndnote/>
          <w:docGrid w:linePitch="299"/>
        </w:sectPr>
      </w:pPr>
    </w:p>
    <w:p w14:paraId="6F47FB82" w14:textId="77777777" w:rsidR="000F5752" w:rsidRPr="00C500C3" w:rsidRDefault="003D07BC" w:rsidP="001F3E8C">
      <w:pPr>
        <w:spacing w:after="0"/>
        <w:rPr>
          <w:rFonts w:ascii="Calibri" w:hAnsi="Calibri" w:cs="Calibri"/>
          <w:b/>
          <w:color w:val="000000"/>
          <w:sz w:val="24"/>
          <w:szCs w:val="24"/>
        </w:rPr>
        <w:sectPr w:rsidR="000F5752" w:rsidRPr="00C500C3" w:rsidSect="001F3E8C">
          <w:type w:val="continuous"/>
          <w:pgSz w:w="12240" w:h="16340"/>
          <w:pgMar w:top="1440" w:right="1008" w:bottom="1440" w:left="1008" w:header="720" w:footer="720" w:gutter="0"/>
          <w:pgNumType w:fmt="numberInDash"/>
          <w:cols w:space="720"/>
          <w:noEndnote/>
          <w:docGrid w:linePitch="299"/>
        </w:sectPr>
      </w:pPr>
      <w:r w:rsidRPr="006D7DC8">
        <w:rPr>
          <w:b/>
          <w:sz w:val="24"/>
          <w:szCs w:val="24"/>
        </w:rPr>
        <w:lastRenderedPageBreak/>
        <w:t>Overall Success</w:t>
      </w:r>
      <w:bookmarkStart w:id="2" w:name="_Hlk513559519"/>
    </w:p>
    <w:p w14:paraId="3788A2DD" w14:textId="77777777" w:rsidR="00E131BA" w:rsidRPr="00E131BA" w:rsidRDefault="00381175" w:rsidP="00381175">
      <w:pPr>
        <w:spacing w:after="0"/>
        <w:ind w:left="-993"/>
        <w:rPr>
          <w:i/>
        </w:rPr>
      </w:pPr>
      <w:r>
        <w:rPr>
          <w:noProof/>
        </w:rPr>
        <w:drawing>
          <wp:inline distT="0" distB="0" distL="0" distR="0" wp14:anchorId="2195E02D" wp14:editId="0DC5DC77">
            <wp:extent cx="3497297" cy="3253740"/>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8195" cy="3263879"/>
                    </a:xfrm>
                    <a:prstGeom prst="rect">
                      <a:avLst/>
                    </a:prstGeom>
                    <a:noFill/>
                  </pic:spPr>
                </pic:pic>
              </a:graphicData>
            </a:graphic>
          </wp:inline>
        </w:drawing>
      </w:r>
    </w:p>
    <w:p w14:paraId="0FDCBCD9" w14:textId="77777777" w:rsidR="00C500C3" w:rsidRDefault="00C500C3" w:rsidP="00C500C3">
      <w:pPr>
        <w:spacing w:after="0"/>
        <w:ind w:left="-851" w:right="-358" w:hanging="425"/>
      </w:pPr>
    </w:p>
    <w:p w14:paraId="22458C07" w14:textId="77777777" w:rsidR="00C500C3" w:rsidRPr="001F3E8C" w:rsidRDefault="00C500C3" w:rsidP="001F3E8C">
      <w:pPr>
        <w:spacing w:after="120"/>
        <w:ind w:right="-358"/>
        <w:jc w:val="both"/>
        <w:rPr>
          <w:b/>
          <w:i/>
        </w:rPr>
      </w:pPr>
      <w:r w:rsidRPr="001F3E8C">
        <w:rPr>
          <w:b/>
          <w:i/>
        </w:rPr>
        <w:t>Projects</w:t>
      </w:r>
    </w:p>
    <w:p w14:paraId="6119AF0C" w14:textId="77777777" w:rsidR="00A166BB" w:rsidRPr="001F3E8C" w:rsidRDefault="00A166BB" w:rsidP="001F3E8C">
      <w:pPr>
        <w:spacing w:after="120"/>
        <w:ind w:right="-358"/>
        <w:jc w:val="both"/>
      </w:pPr>
      <w:r w:rsidRPr="001F3E8C">
        <w:t xml:space="preserve">The books </w:t>
      </w:r>
      <w:r w:rsidR="00053E2D" w:rsidRPr="001F3E8C">
        <w:t xml:space="preserve">and application were </w:t>
      </w:r>
      <w:r w:rsidR="00E726AE" w:rsidRPr="001F3E8C">
        <w:t>developed,</w:t>
      </w:r>
      <w:r w:rsidR="00053E2D" w:rsidRPr="001F3E8C">
        <w:t xml:space="preserve"> and the books</w:t>
      </w:r>
      <w:r w:rsidRPr="001F3E8C">
        <w:t xml:space="preserve"> were distributed in 69 schools</w:t>
      </w:r>
      <w:r w:rsidR="00E56C42" w:rsidRPr="001F3E8C">
        <w:t xml:space="preserve"> and approximately 7000 children between the ages of 5-7</w:t>
      </w:r>
      <w:r w:rsidR="00053E2D" w:rsidRPr="001F3E8C">
        <w:t xml:space="preserve">.  </w:t>
      </w:r>
      <w:r w:rsidR="00E726AE" w:rsidRPr="001F3E8C">
        <w:t xml:space="preserve">The app was made available for distribution through </w:t>
      </w:r>
      <w:r w:rsidR="00E56C42" w:rsidRPr="001F3E8C">
        <w:t>the ICCAS website, and various other social media platforms. The pre and post survey data indicated an overall 27% improvement in awareness among children in the target age-group</w:t>
      </w:r>
      <w:r w:rsidR="00C500C3" w:rsidRPr="001F3E8C">
        <w:t>.</w:t>
      </w:r>
    </w:p>
    <w:p w14:paraId="315D5CA4" w14:textId="7D124D38" w:rsidR="00C500C3" w:rsidRPr="001F3E8C" w:rsidRDefault="000F5752" w:rsidP="001F3E8C">
      <w:pPr>
        <w:spacing w:after="120"/>
        <w:jc w:val="both"/>
      </w:pPr>
      <w:r w:rsidRPr="001F3E8C">
        <w:t>A Grenada specific climate change teaching kit was completed. 49 schools participated in the development of the “Greenz Climate Champion Toolkit”</w:t>
      </w:r>
      <w:r w:rsidR="000753DB">
        <w:t>,</w:t>
      </w:r>
      <w:r w:rsidRPr="001F3E8C">
        <w:t xml:space="preserve"> </w:t>
      </w:r>
      <w:r w:rsidRPr="000753DB">
        <w:rPr>
          <w:noProof/>
        </w:rPr>
        <w:t>and</w:t>
      </w:r>
      <w:r w:rsidRPr="001F3E8C">
        <w:t xml:space="preserve"> 900 children have received their climate change passports.</w:t>
      </w:r>
      <w:r w:rsidR="001F3E8C">
        <w:t xml:space="preserve">  A</w:t>
      </w:r>
      <w:r w:rsidR="00E131BA" w:rsidRPr="001F3E8C">
        <w:t xml:space="preserve"> debate </w:t>
      </w:r>
      <w:r w:rsidR="001F3E8C">
        <w:t>on the subject of climate change was organized among several schools</w:t>
      </w:r>
      <w:r w:rsidR="00E131BA" w:rsidRPr="001F3E8C">
        <w:t xml:space="preserve"> </w:t>
      </w:r>
      <w:r w:rsidR="00C500C3" w:rsidRPr="001F3E8C">
        <w:t xml:space="preserve">in which </w:t>
      </w:r>
      <w:r w:rsidR="00E131BA" w:rsidRPr="001F3E8C">
        <w:t>over 236 children participated.</w:t>
      </w:r>
    </w:p>
    <w:p w14:paraId="65B7CE07" w14:textId="77777777" w:rsidR="00E131BA" w:rsidRPr="001F3E8C" w:rsidRDefault="00E131BA" w:rsidP="001F3E8C">
      <w:pPr>
        <w:tabs>
          <w:tab w:val="left" w:pos="142"/>
        </w:tabs>
        <w:spacing w:after="0"/>
        <w:jc w:val="both"/>
        <w:rPr>
          <w:b/>
        </w:rPr>
      </w:pPr>
      <w:r w:rsidRPr="001F3E8C">
        <w:rPr>
          <w:b/>
          <w:i/>
        </w:rPr>
        <w:t>Use of Various Media:</w:t>
      </w:r>
    </w:p>
    <w:p w14:paraId="5767C333" w14:textId="77777777" w:rsidR="00E131BA" w:rsidRPr="001F3E8C" w:rsidRDefault="00E131BA" w:rsidP="001F3E8C">
      <w:pPr>
        <w:spacing w:after="0"/>
        <w:jc w:val="both"/>
        <w:rPr>
          <w:b/>
          <w:i/>
        </w:rPr>
      </w:pPr>
      <w:r w:rsidRPr="001F3E8C">
        <w:rPr>
          <w:b/>
          <w:i/>
        </w:rPr>
        <w:t>Radio Television &amp; Print:</w:t>
      </w:r>
    </w:p>
    <w:p w14:paraId="42B86181" w14:textId="77777777" w:rsidR="0030201D" w:rsidRPr="001F3E8C" w:rsidRDefault="00E131BA" w:rsidP="001F3E8C">
      <w:pPr>
        <w:spacing w:after="120"/>
        <w:jc w:val="both"/>
      </w:pPr>
      <w:r w:rsidRPr="001F3E8C">
        <w:t xml:space="preserve">A </w:t>
      </w:r>
      <w:r w:rsidR="0030201D" w:rsidRPr="001F3E8C">
        <w:t>media strategy was implemented which included radio and</w:t>
      </w:r>
      <w:r w:rsidRPr="001F3E8C">
        <w:t xml:space="preserve"> </w:t>
      </w:r>
      <w:r w:rsidR="0030201D" w:rsidRPr="001F3E8C">
        <w:t xml:space="preserve">TV Public Service Announcements, media </w:t>
      </w:r>
      <w:r w:rsidR="0030201D" w:rsidRPr="001F3E8C">
        <w:t>coverage of</w:t>
      </w:r>
      <w:r w:rsidRPr="001F3E8C">
        <w:t xml:space="preserve"> a</w:t>
      </w:r>
      <w:r w:rsidR="0030201D" w:rsidRPr="001F3E8C">
        <w:t>ctivities of the ICCAS project and the Environment division</w:t>
      </w:r>
      <w:r w:rsidRPr="001F3E8C">
        <w:t xml:space="preserve"> </w:t>
      </w:r>
      <w:r w:rsidR="0030201D" w:rsidRPr="001F3E8C">
        <w:t>and a bi-weekly environment radio show on WEE-FM.</w:t>
      </w:r>
    </w:p>
    <w:p w14:paraId="368173DF" w14:textId="77777777" w:rsidR="00E131BA" w:rsidRPr="001F3E8C" w:rsidRDefault="00E131BA" w:rsidP="001F3E8C">
      <w:pPr>
        <w:spacing w:after="120"/>
        <w:jc w:val="both"/>
      </w:pPr>
      <w:r w:rsidRPr="001F3E8C">
        <w:t>12 billboards have been erected around Grenada, Carriacou and Petit Martinique to inform the public on strategies to adapt to climate change as well as to raise awareness on the</w:t>
      </w:r>
      <w:r w:rsidR="001F3E8C">
        <w:t xml:space="preserve"> </w:t>
      </w:r>
      <w:r w:rsidRPr="001F3E8C">
        <w:t xml:space="preserve">invasive red lion fish. </w:t>
      </w:r>
    </w:p>
    <w:p w14:paraId="1F46FBF8" w14:textId="77777777" w:rsidR="00E131BA" w:rsidRPr="001F3E8C" w:rsidRDefault="00E131BA" w:rsidP="001F3E8C">
      <w:pPr>
        <w:spacing w:after="120"/>
        <w:jc w:val="both"/>
      </w:pPr>
      <w:r w:rsidRPr="001F3E8C">
        <w:t xml:space="preserve">Public transport campaign: The Grenada Adapts to Climate Change </w:t>
      </w:r>
      <w:r w:rsidR="00381175" w:rsidRPr="001F3E8C">
        <w:t xml:space="preserve">Now! </w:t>
      </w:r>
      <w:r w:rsidRPr="001F3E8C">
        <w:t>artwork was placed on 7 public buses travelling in different bus routes in Grenada and Carriacou.</w:t>
      </w:r>
    </w:p>
    <w:p w14:paraId="013D174A" w14:textId="77777777" w:rsidR="00E131BA" w:rsidRPr="001F3E8C" w:rsidRDefault="00DA340C" w:rsidP="0030201D">
      <w:pPr>
        <w:spacing w:after="0"/>
        <w:rPr>
          <w:b/>
          <w:i/>
        </w:rPr>
      </w:pPr>
      <w:r w:rsidRPr="001F3E8C">
        <w:rPr>
          <w:b/>
          <w:i/>
        </w:rPr>
        <w:t xml:space="preserve">Internet &amp; </w:t>
      </w:r>
      <w:r w:rsidR="0030201D" w:rsidRPr="001F3E8C">
        <w:rPr>
          <w:b/>
          <w:i/>
        </w:rPr>
        <w:t>Social Media</w:t>
      </w:r>
      <w:r w:rsidR="00E131BA" w:rsidRPr="001F3E8C">
        <w:rPr>
          <w:b/>
          <w:i/>
        </w:rPr>
        <w:t>:</w:t>
      </w:r>
    </w:p>
    <w:p w14:paraId="1FB31C38" w14:textId="77777777" w:rsidR="00E56C42" w:rsidRPr="001F3E8C" w:rsidRDefault="00DA340C" w:rsidP="001F3E8C">
      <w:pPr>
        <w:spacing w:after="120"/>
        <w:jc w:val="both"/>
      </w:pPr>
      <w:r w:rsidRPr="001F3E8C">
        <w:t>ICCAS has a website which is the repository of all programme and project information.</w:t>
      </w:r>
      <w:r w:rsidR="001F3E8C">
        <w:t xml:space="preserve">  They also set up </w:t>
      </w:r>
      <w:r w:rsidR="00E131BA" w:rsidRPr="001F3E8C">
        <w:t>various social media platforms including</w:t>
      </w:r>
      <w:r w:rsidR="0030201D" w:rsidRPr="001F3E8C">
        <w:t xml:space="preserve"> Facebook, Twitter and You</w:t>
      </w:r>
      <w:r w:rsidR="00E131BA" w:rsidRPr="001F3E8C">
        <w:t>-</w:t>
      </w:r>
      <w:r w:rsidR="0030201D" w:rsidRPr="001F3E8C">
        <w:t>tube to disseminate</w:t>
      </w:r>
      <w:r w:rsidR="00E131BA" w:rsidRPr="001F3E8C">
        <w:t xml:space="preserve"> </w:t>
      </w:r>
      <w:r w:rsidR="0030201D" w:rsidRPr="001F3E8C">
        <w:t xml:space="preserve">Information about the actions of ICCAS </w:t>
      </w:r>
      <w:r w:rsidR="00E131BA" w:rsidRPr="001F3E8C">
        <w:t>and</w:t>
      </w:r>
      <w:r w:rsidR="0030201D" w:rsidRPr="001F3E8C">
        <w:t xml:space="preserve"> Climate</w:t>
      </w:r>
      <w:r w:rsidR="00E131BA" w:rsidRPr="001F3E8C">
        <w:t xml:space="preserve"> </w:t>
      </w:r>
      <w:r w:rsidR="0030201D" w:rsidRPr="001F3E8C">
        <w:t>Change information in general.</w:t>
      </w:r>
      <w:r w:rsidR="00E131BA" w:rsidRPr="001F3E8C">
        <w:t xml:space="preserve"> </w:t>
      </w:r>
      <w:r w:rsidR="001F3E8C">
        <w:t xml:space="preserve">A music </w:t>
      </w:r>
      <w:r w:rsidR="00E56C42" w:rsidRPr="001F3E8C">
        <w:t>video</w:t>
      </w:r>
      <w:r w:rsidR="001F3E8C">
        <w:t xml:space="preserve"> was done by a</w:t>
      </w:r>
      <w:r w:rsidR="00E56C42" w:rsidRPr="001F3E8C">
        <w:t xml:space="preserve"> high profile local </w:t>
      </w:r>
      <w:r w:rsidR="001F3E8C">
        <w:t>“S</w:t>
      </w:r>
      <w:r w:rsidR="00E56C42" w:rsidRPr="001F3E8C">
        <w:t>oca</w:t>
      </w:r>
      <w:r w:rsidR="001F3E8C">
        <w:t>”</w:t>
      </w:r>
      <w:r w:rsidR="00E56C42" w:rsidRPr="001F3E8C">
        <w:t xml:space="preserve"> artist on the topic of climate change</w:t>
      </w:r>
      <w:r w:rsidR="001F3E8C">
        <w:t xml:space="preserve">.  It was </w:t>
      </w:r>
      <w:r w:rsidR="00E56C42" w:rsidRPr="001F3E8C">
        <w:t xml:space="preserve">called “Can’t do it </w:t>
      </w:r>
      <w:r w:rsidR="001F3E8C">
        <w:t>A</w:t>
      </w:r>
      <w:r w:rsidR="00E56C42" w:rsidRPr="001F3E8C">
        <w:t>lone”</w:t>
      </w:r>
      <w:r w:rsidR="001F3E8C">
        <w:t xml:space="preserve"> and has received lots of airing on local television</w:t>
      </w:r>
      <w:r w:rsidR="00E56C42" w:rsidRPr="001F3E8C">
        <w:t>.</w:t>
      </w:r>
    </w:p>
    <w:p w14:paraId="354E5BE0" w14:textId="77777777" w:rsidR="00E131BA" w:rsidRPr="001F3E8C" w:rsidRDefault="00E131BA" w:rsidP="001F3E8C">
      <w:pPr>
        <w:spacing w:after="0"/>
        <w:jc w:val="both"/>
        <w:rPr>
          <w:b/>
          <w:i/>
        </w:rPr>
      </w:pPr>
      <w:r w:rsidRPr="001F3E8C">
        <w:rPr>
          <w:b/>
        </w:rPr>
        <w:t>S</w:t>
      </w:r>
      <w:r w:rsidRPr="001F3E8C">
        <w:rPr>
          <w:b/>
          <w:i/>
        </w:rPr>
        <w:t>ocial Events:</w:t>
      </w:r>
    </w:p>
    <w:p w14:paraId="1A2762F4" w14:textId="77777777" w:rsidR="00E131BA" w:rsidRPr="001F3E8C" w:rsidRDefault="00E131BA" w:rsidP="001F3E8C">
      <w:pPr>
        <w:spacing w:after="80"/>
        <w:jc w:val="both"/>
      </w:pPr>
      <w:r w:rsidRPr="001F3E8C">
        <w:t>Several community and national events have been organized to raise the public’s awareness of climate change:</w:t>
      </w:r>
    </w:p>
    <w:p w14:paraId="740BD9CE" w14:textId="77777777" w:rsidR="00E131BA" w:rsidRPr="001F3E8C" w:rsidRDefault="0030201D" w:rsidP="001F3E8C">
      <w:pPr>
        <w:pStyle w:val="ListParagraph"/>
        <w:numPr>
          <w:ilvl w:val="0"/>
          <w:numId w:val="40"/>
        </w:numPr>
        <w:spacing w:after="0"/>
        <w:jc w:val="both"/>
      </w:pPr>
      <w:r w:rsidRPr="001F3E8C">
        <w:t>Climate Change Walk,</w:t>
      </w:r>
    </w:p>
    <w:p w14:paraId="05AFAE03" w14:textId="77777777" w:rsidR="0030201D" w:rsidRPr="001F3E8C" w:rsidRDefault="0030201D" w:rsidP="001F3E8C">
      <w:pPr>
        <w:pStyle w:val="ListParagraph"/>
        <w:numPr>
          <w:ilvl w:val="0"/>
          <w:numId w:val="40"/>
        </w:numPr>
        <w:spacing w:after="0"/>
        <w:jc w:val="both"/>
      </w:pPr>
      <w:r w:rsidRPr="001F3E8C">
        <w:t>Climate Change</w:t>
      </w:r>
    </w:p>
    <w:p w14:paraId="3FB34FD4" w14:textId="77777777" w:rsidR="00E131BA" w:rsidRPr="001F3E8C" w:rsidRDefault="0030201D" w:rsidP="001F3E8C">
      <w:pPr>
        <w:pStyle w:val="ListParagraph"/>
        <w:numPr>
          <w:ilvl w:val="0"/>
          <w:numId w:val="40"/>
        </w:numPr>
        <w:spacing w:after="0"/>
        <w:jc w:val="both"/>
      </w:pPr>
      <w:r w:rsidRPr="001F3E8C">
        <w:t xml:space="preserve">Football </w:t>
      </w:r>
      <w:r w:rsidR="001F3E8C">
        <w:t xml:space="preserve">Competition </w:t>
      </w:r>
      <w:r w:rsidRPr="001F3E8C">
        <w:t xml:space="preserve"> </w:t>
      </w:r>
    </w:p>
    <w:p w14:paraId="5D0A4E55" w14:textId="77777777" w:rsidR="0030201D" w:rsidRPr="001F3E8C" w:rsidRDefault="001F3E8C" w:rsidP="001F3E8C">
      <w:pPr>
        <w:pStyle w:val="ListParagraph"/>
        <w:numPr>
          <w:ilvl w:val="0"/>
          <w:numId w:val="40"/>
        </w:numPr>
        <w:spacing w:after="120"/>
        <w:contextualSpacing w:val="0"/>
        <w:jc w:val="both"/>
      </w:pPr>
      <w:r>
        <w:t>N</w:t>
      </w:r>
      <w:r w:rsidR="0030201D" w:rsidRPr="001F3E8C">
        <w:t>umerous festivals and</w:t>
      </w:r>
      <w:r w:rsidR="00E131BA" w:rsidRPr="001F3E8C">
        <w:t xml:space="preserve"> </w:t>
      </w:r>
      <w:r w:rsidR="0030201D" w:rsidRPr="001F3E8C">
        <w:t>events.</w:t>
      </w:r>
    </w:p>
    <w:p w14:paraId="6F6BF64E" w14:textId="77777777" w:rsidR="00E131BA" w:rsidRPr="001F3E8C" w:rsidRDefault="0030201D" w:rsidP="001F3E8C">
      <w:pPr>
        <w:spacing w:after="0"/>
        <w:jc w:val="both"/>
        <w:rPr>
          <w:b/>
        </w:rPr>
      </w:pPr>
      <w:r w:rsidRPr="001F3E8C">
        <w:rPr>
          <w:b/>
          <w:i/>
        </w:rPr>
        <w:t>Project launches</w:t>
      </w:r>
      <w:r w:rsidRPr="001F3E8C">
        <w:rPr>
          <w:b/>
        </w:rPr>
        <w:t xml:space="preserve">: </w:t>
      </w:r>
    </w:p>
    <w:p w14:paraId="1BD50FF7" w14:textId="77777777" w:rsidR="00E131BA" w:rsidRPr="001F3E8C" w:rsidRDefault="0030201D" w:rsidP="001F3E8C">
      <w:pPr>
        <w:pStyle w:val="ListParagraph"/>
        <w:numPr>
          <w:ilvl w:val="0"/>
          <w:numId w:val="41"/>
        </w:numPr>
        <w:spacing w:after="0"/>
        <w:jc w:val="both"/>
      </w:pPr>
      <w:r w:rsidRPr="001F3E8C">
        <w:t>10 CCCAF projects held launches to raise</w:t>
      </w:r>
      <w:r w:rsidR="00E131BA" w:rsidRPr="001F3E8C">
        <w:t xml:space="preserve"> </w:t>
      </w:r>
      <w:r w:rsidRPr="001F3E8C">
        <w:t>the level of awareness of the projects and to demonstrate</w:t>
      </w:r>
      <w:r w:rsidR="00E131BA" w:rsidRPr="001F3E8C">
        <w:t xml:space="preserve"> </w:t>
      </w:r>
      <w:r w:rsidRPr="001F3E8C">
        <w:t>how adaptation is working at community level.</w:t>
      </w:r>
    </w:p>
    <w:p w14:paraId="57D2337F" w14:textId="77777777" w:rsidR="00C62BCC" w:rsidRDefault="0030201D" w:rsidP="001F3E8C">
      <w:pPr>
        <w:pStyle w:val="ListParagraph"/>
        <w:numPr>
          <w:ilvl w:val="0"/>
          <w:numId w:val="41"/>
        </w:numPr>
        <w:spacing w:after="0"/>
        <w:jc w:val="both"/>
      </w:pPr>
      <w:r w:rsidRPr="001F3E8C">
        <w:t>Telling the ICCAS story through Adaptation Videos: Video</w:t>
      </w:r>
      <w:r w:rsidR="00E131BA" w:rsidRPr="001F3E8C">
        <w:t xml:space="preserve"> </w:t>
      </w:r>
      <w:r w:rsidRPr="001F3E8C">
        <w:t xml:space="preserve">footage covering activities on the implementation of </w:t>
      </w:r>
      <w:r w:rsidR="00381175" w:rsidRPr="001F3E8C">
        <w:t>the projects</w:t>
      </w:r>
      <w:r w:rsidR="001F3E8C">
        <w:t>.</w:t>
      </w:r>
    </w:p>
    <w:p w14:paraId="360E74E4" w14:textId="77777777" w:rsidR="001F3E8C" w:rsidRDefault="001F3E8C" w:rsidP="001F3E8C">
      <w:pPr>
        <w:spacing w:after="0"/>
        <w:jc w:val="both"/>
        <w:sectPr w:rsidR="001F3E8C" w:rsidSect="001F3E8C">
          <w:type w:val="continuous"/>
          <w:pgSz w:w="12240" w:h="16340"/>
          <w:pgMar w:top="1440" w:right="1008" w:bottom="1440" w:left="1008" w:header="720" w:footer="720" w:gutter="0"/>
          <w:cols w:num="2" w:space="720"/>
          <w:noEndnote/>
          <w:docGrid w:linePitch="299"/>
        </w:sectPr>
      </w:pPr>
    </w:p>
    <w:p w14:paraId="63A71BED" w14:textId="77777777" w:rsidR="001F3E8C" w:rsidRDefault="001F3E8C" w:rsidP="001F3E8C">
      <w:pPr>
        <w:spacing w:after="0"/>
        <w:jc w:val="both"/>
      </w:pPr>
    </w:p>
    <w:p w14:paraId="1CE74FC8" w14:textId="77777777" w:rsidR="001F3E8C" w:rsidRDefault="001F3E8C" w:rsidP="001F3E8C">
      <w:pPr>
        <w:spacing w:after="0"/>
        <w:jc w:val="both"/>
      </w:pPr>
    </w:p>
    <w:p w14:paraId="70EC68B8" w14:textId="77777777" w:rsidR="00806A35" w:rsidRPr="001F3E8C" w:rsidRDefault="00F71537" w:rsidP="001F3E8C">
      <w:pPr>
        <w:pStyle w:val="Default"/>
        <w:spacing w:after="120"/>
        <w:rPr>
          <w:b/>
          <w:sz w:val="22"/>
          <w:szCs w:val="22"/>
        </w:rPr>
      </w:pPr>
      <w:r w:rsidRPr="001F3E8C">
        <w:rPr>
          <w:b/>
          <w:sz w:val="22"/>
          <w:szCs w:val="22"/>
        </w:rPr>
        <w:t>Lessons Learnt</w:t>
      </w:r>
      <w:bookmarkEnd w:id="2"/>
      <w:r w:rsidR="001F3E8C">
        <w:rPr>
          <w:b/>
          <w:sz w:val="22"/>
          <w:szCs w:val="22"/>
        </w:rPr>
        <w:t>:</w:t>
      </w:r>
    </w:p>
    <w:p w14:paraId="387A5C78" w14:textId="77777777" w:rsidR="00E56C42" w:rsidRPr="001F3E8C" w:rsidRDefault="00C62BCC" w:rsidP="001F3E8C">
      <w:pPr>
        <w:pStyle w:val="Default"/>
        <w:numPr>
          <w:ilvl w:val="0"/>
          <w:numId w:val="42"/>
        </w:numPr>
        <w:jc w:val="both"/>
        <w:rPr>
          <w:sz w:val="22"/>
          <w:szCs w:val="22"/>
        </w:rPr>
      </w:pPr>
      <w:r w:rsidRPr="001F3E8C">
        <w:rPr>
          <w:sz w:val="22"/>
          <w:szCs w:val="22"/>
        </w:rPr>
        <w:t>S</w:t>
      </w:r>
      <w:r w:rsidR="00E56C42" w:rsidRPr="001F3E8C">
        <w:rPr>
          <w:sz w:val="22"/>
          <w:szCs w:val="22"/>
        </w:rPr>
        <w:t xml:space="preserve">mall expenditures well targeted can have a very big impact on education and awareness. The music video was a very good example of this </w:t>
      </w:r>
    </w:p>
    <w:p w14:paraId="493A4AB9" w14:textId="77777777" w:rsidR="00F5403D" w:rsidRPr="001F3E8C" w:rsidRDefault="00E56C42" w:rsidP="001F3E8C">
      <w:pPr>
        <w:pStyle w:val="Default"/>
        <w:numPr>
          <w:ilvl w:val="0"/>
          <w:numId w:val="42"/>
        </w:numPr>
        <w:jc w:val="both"/>
        <w:rPr>
          <w:sz w:val="22"/>
          <w:szCs w:val="22"/>
        </w:rPr>
      </w:pPr>
      <w:r w:rsidRPr="001F3E8C">
        <w:rPr>
          <w:sz w:val="22"/>
          <w:szCs w:val="22"/>
        </w:rPr>
        <w:lastRenderedPageBreak/>
        <w:t>A key message coming out of most of the projects is the need for ongoing education on climate change impact and adaptation strategies. One-time presentations etc. are not adequate to relay the information, to build the knowledge base</w:t>
      </w:r>
      <w:r w:rsidR="00C62BCC" w:rsidRPr="001F3E8C">
        <w:rPr>
          <w:sz w:val="22"/>
          <w:szCs w:val="22"/>
        </w:rPr>
        <w:t xml:space="preserve"> and create commitment</w:t>
      </w:r>
      <w:r w:rsidRPr="001F3E8C">
        <w:rPr>
          <w:sz w:val="22"/>
          <w:szCs w:val="22"/>
        </w:rPr>
        <w:t>.</w:t>
      </w:r>
    </w:p>
    <w:p w14:paraId="5C5180F5" w14:textId="77777777" w:rsidR="00C62BCC" w:rsidRPr="001F3E8C" w:rsidRDefault="0044678D" w:rsidP="001F3E8C">
      <w:pPr>
        <w:pStyle w:val="Default"/>
        <w:numPr>
          <w:ilvl w:val="0"/>
          <w:numId w:val="42"/>
        </w:numPr>
        <w:jc w:val="both"/>
        <w:rPr>
          <w:sz w:val="22"/>
          <w:szCs w:val="22"/>
        </w:rPr>
      </w:pPr>
      <w:r w:rsidRPr="001F3E8C">
        <w:rPr>
          <w:sz w:val="22"/>
          <w:szCs w:val="22"/>
        </w:rPr>
        <w:t>Education awareness on the impacts of climate change and adaptation measures to build resilience should form an integral part of projects being implemented as it helps to promote acceptance and commitment</w:t>
      </w:r>
      <w:r w:rsidR="00C62BCC" w:rsidRPr="001F3E8C">
        <w:rPr>
          <w:sz w:val="22"/>
          <w:szCs w:val="22"/>
        </w:rPr>
        <w:t>.</w:t>
      </w:r>
    </w:p>
    <w:p w14:paraId="3DCD2A78" w14:textId="6D803C02" w:rsidR="00C62BCC" w:rsidRPr="001F3E8C" w:rsidRDefault="00C62BCC" w:rsidP="001F3E8C">
      <w:pPr>
        <w:pStyle w:val="Default"/>
        <w:numPr>
          <w:ilvl w:val="0"/>
          <w:numId w:val="42"/>
        </w:numPr>
        <w:jc w:val="both"/>
        <w:rPr>
          <w:sz w:val="22"/>
          <w:szCs w:val="22"/>
        </w:rPr>
      </w:pPr>
      <w:r w:rsidRPr="001F3E8C">
        <w:rPr>
          <w:sz w:val="22"/>
          <w:szCs w:val="22"/>
        </w:rPr>
        <w:t>Use of different media to convey the message is a good strategy because different demographics in the population respond better to different media</w:t>
      </w:r>
      <w:r w:rsidR="000753DB">
        <w:rPr>
          <w:sz w:val="22"/>
          <w:szCs w:val="22"/>
        </w:rPr>
        <w:t>.</w:t>
      </w:r>
    </w:p>
    <w:p w14:paraId="02E313EA" w14:textId="77777777" w:rsidR="0044678D" w:rsidRPr="001F3E8C" w:rsidRDefault="00DA340C" w:rsidP="001F3E8C">
      <w:pPr>
        <w:pStyle w:val="Default"/>
        <w:numPr>
          <w:ilvl w:val="0"/>
          <w:numId w:val="42"/>
        </w:numPr>
        <w:jc w:val="both"/>
        <w:rPr>
          <w:sz w:val="22"/>
          <w:szCs w:val="22"/>
        </w:rPr>
      </w:pPr>
      <w:r w:rsidRPr="001F3E8C">
        <w:rPr>
          <w:sz w:val="22"/>
          <w:szCs w:val="22"/>
        </w:rPr>
        <w:t xml:space="preserve">However, there have been issues when using </w:t>
      </w:r>
      <w:r w:rsidR="0044678D" w:rsidRPr="001F3E8C">
        <w:rPr>
          <w:sz w:val="22"/>
          <w:szCs w:val="22"/>
        </w:rPr>
        <w:t>technology-based</w:t>
      </w:r>
      <w:r w:rsidRPr="001F3E8C">
        <w:rPr>
          <w:sz w:val="22"/>
          <w:szCs w:val="22"/>
        </w:rPr>
        <w:t xml:space="preserve"> media like the internet and the social media app.  The website has had functionality problems and continues to do so.  The app had difficulties being launched.  </w:t>
      </w:r>
      <w:r w:rsidR="0044678D" w:rsidRPr="001F3E8C">
        <w:rPr>
          <w:sz w:val="22"/>
          <w:szCs w:val="22"/>
        </w:rPr>
        <w:t>Both</w:t>
      </w:r>
      <w:r w:rsidRPr="001F3E8C">
        <w:rPr>
          <w:sz w:val="22"/>
          <w:szCs w:val="22"/>
        </w:rPr>
        <w:t xml:space="preserve"> problems have their source in incomplete knowledge before </w:t>
      </w:r>
      <w:r w:rsidR="0044678D" w:rsidRPr="001F3E8C">
        <w:rPr>
          <w:sz w:val="22"/>
          <w:szCs w:val="22"/>
        </w:rPr>
        <w:t>the setting</w:t>
      </w:r>
      <w:r w:rsidRPr="001F3E8C">
        <w:rPr>
          <w:sz w:val="22"/>
          <w:szCs w:val="22"/>
        </w:rPr>
        <w:t xml:space="preserve"> up and use of the particular medium.  Better access to technical resources is the key to avoiding these problems in the future.</w:t>
      </w:r>
    </w:p>
    <w:p w14:paraId="5C7FB513" w14:textId="77777777" w:rsidR="00E56C42" w:rsidRPr="001F3E8C" w:rsidRDefault="00E56C42" w:rsidP="001F3E8C">
      <w:pPr>
        <w:pStyle w:val="Default"/>
        <w:jc w:val="both"/>
        <w:rPr>
          <w:sz w:val="22"/>
          <w:szCs w:val="22"/>
        </w:rPr>
      </w:pPr>
    </w:p>
    <w:p w14:paraId="2A52752B" w14:textId="77777777" w:rsidR="00035762" w:rsidRPr="001F3E8C" w:rsidRDefault="00735635" w:rsidP="001F3E8C">
      <w:pPr>
        <w:pStyle w:val="Default"/>
        <w:spacing w:after="120"/>
        <w:jc w:val="both"/>
        <w:rPr>
          <w:b/>
          <w:sz w:val="22"/>
          <w:szCs w:val="22"/>
        </w:rPr>
      </w:pPr>
      <w:r w:rsidRPr="001F3E8C">
        <w:rPr>
          <w:b/>
          <w:sz w:val="22"/>
          <w:szCs w:val="22"/>
        </w:rPr>
        <w:t>Best Practice(s)</w:t>
      </w:r>
      <w:r w:rsidR="00D31167" w:rsidRPr="001F3E8C">
        <w:rPr>
          <w:b/>
          <w:sz w:val="22"/>
          <w:szCs w:val="22"/>
        </w:rPr>
        <w:t xml:space="preserve"> </w:t>
      </w:r>
      <w:r w:rsidRPr="001F3E8C">
        <w:rPr>
          <w:b/>
          <w:sz w:val="22"/>
          <w:szCs w:val="22"/>
        </w:rPr>
        <w:t>Identified</w:t>
      </w:r>
      <w:r w:rsidR="001F3E8C">
        <w:rPr>
          <w:b/>
          <w:sz w:val="22"/>
          <w:szCs w:val="22"/>
        </w:rPr>
        <w:t>:</w:t>
      </w:r>
    </w:p>
    <w:p w14:paraId="3865C63E" w14:textId="77777777" w:rsidR="0044678D" w:rsidRPr="001F3E8C" w:rsidRDefault="00A64A69" w:rsidP="001F3E8C">
      <w:pPr>
        <w:pStyle w:val="Default"/>
        <w:numPr>
          <w:ilvl w:val="0"/>
          <w:numId w:val="45"/>
        </w:numPr>
        <w:jc w:val="both"/>
        <w:rPr>
          <w:sz w:val="22"/>
          <w:szCs w:val="22"/>
        </w:rPr>
      </w:pPr>
      <w:r w:rsidRPr="001F3E8C">
        <w:rPr>
          <w:sz w:val="22"/>
          <w:szCs w:val="22"/>
        </w:rPr>
        <w:t>Targeting of the media to suit the demographic works (as in the case of interactive mobile app for young children and music video done by popular artiste) to raise acceptance of the message.</w:t>
      </w:r>
    </w:p>
    <w:p w14:paraId="33730746" w14:textId="77777777" w:rsidR="00381175" w:rsidRPr="001F3E8C" w:rsidRDefault="00381175" w:rsidP="001F3E8C">
      <w:pPr>
        <w:pStyle w:val="Default"/>
        <w:jc w:val="both"/>
        <w:rPr>
          <w:sz w:val="22"/>
          <w:szCs w:val="22"/>
        </w:rPr>
      </w:pPr>
    </w:p>
    <w:p w14:paraId="5EEADE98" w14:textId="77777777" w:rsidR="0044678D" w:rsidRPr="001F3E8C" w:rsidRDefault="0044678D" w:rsidP="001F3E8C">
      <w:pPr>
        <w:pStyle w:val="ListParagraph"/>
        <w:numPr>
          <w:ilvl w:val="0"/>
          <w:numId w:val="45"/>
        </w:numPr>
        <w:contextualSpacing w:val="0"/>
        <w:jc w:val="both"/>
        <w:rPr>
          <w:rFonts w:ascii="Calibri" w:hAnsi="Calibri" w:cs="Calibri"/>
          <w:color w:val="000000"/>
        </w:rPr>
      </w:pPr>
      <w:r w:rsidRPr="001F3E8C">
        <w:rPr>
          <w:rFonts w:ascii="Calibri" w:hAnsi="Calibri" w:cs="Calibri"/>
          <w:color w:val="000000"/>
        </w:rPr>
        <w:t>Integration of climate change adaptation and resilience through the use of various interactive media can be an effective means of reaching school kids and mainstreaming climate change adaptation.  This was aptly demonstrated through the efforts of the Ministry of Education, Curriculum Department as they undertook several activities in that regard including presenting the Tool-kit at several Principal’s District meetings across the country, convening a workshop for training of teachers in the use of the Tool-kit, development of some fun interactive games, and, organizing a Science Fair at which the information in the books could be distributed.</w:t>
      </w:r>
    </w:p>
    <w:p w14:paraId="736A6913" w14:textId="77777777" w:rsidR="00735635" w:rsidRPr="001F3E8C" w:rsidRDefault="00735635" w:rsidP="001F3E8C">
      <w:pPr>
        <w:pStyle w:val="Default"/>
        <w:spacing w:after="120"/>
        <w:jc w:val="both"/>
        <w:rPr>
          <w:b/>
          <w:sz w:val="22"/>
          <w:szCs w:val="22"/>
        </w:rPr>
      </w:pPr>
      <w:r w:rsidRPr="001F3E8C">
        <w:rPr>
          <w:b/>
          <w:sz w:val="22"/>
          <w:szCs w:val="22"/>
        </w:rPr>
        <w:t>Recommendations based on the Lessons Learnt and Best Practices Analysis:</w:t>
      </w:r>
    </w:p>
    <w:p w14:paraId="544DE168" w14:textId="77777777" w:rsidR="00C71C10" w:rsidRPr="001F3E8C" w:rsidRDefault="00A64A69" w:rsidP="001F3E8C">
      <w:pPr>
        <w:pStyle w:val="Default"/>
        <w:numPr>
          <w:ilvl w:val="0"/>
          <w:numId w:val="44"/>
        </w:numPr>
        <w:jc w:val="both"/>
        <w:rPr>
          <w:sz w:val="22"/>
          <w:szCs w:val="22"/>
        </w:rPr>
      </w:pPr>
      <w:r w:rsidRPr="001F3E8C">
        <w:rPr>
          <w:sz w:val="22"/>
          <w:szCs w:val="22"/>
        </w:rPr>
        <w:t>Broad use of various communication and awareness raising media is a good way to ensure that different demographics are made aware of and are responsive to the message.</w:t>
      </w:r>
    </w:p>
    <w:p w14:paraId="4ACD3503" w14:textId="053C7EF0" w:rsidR="00A64A69" w:rsidRPr="001F3E8C" w:rsidRDefault="00A64A69" w:rsidP="001F3E8C">
      <w:pPr>
        <w:pStyle w:val="Default"/>
        <w:numPr>
          <w:ilvl w:val="0"/>
          <w:numId w:val="44"/>
        </w:numPr>
        <w:jc w:val="both"/>
        <w:rPr>
          <w:sz w:val="22"/>
          <w:szCs w:val="22"/>
        </w:rPr>
      </w:pPr>
      <w:r w:rsidRPr="001F3E8C">
        <w:rPr>
          <w:sz w:val="22"/>
          <w:szCs w:val="22"/>
        </w:rPr>
        <w:t>When technology is being used, ensuring understanding and access to the appropriate technology and support is essential for long term functionality</w:t>
      </w:r>
      <w:r w:rsidR="000753DB">
        <w:rPr>
          <w:sz w:val="22"/>
          <w:szCs w:val="22"/>
        </w:rPr>
        <w:t>.</w:t>
      </w:r>
    </w:p>
    <w:p w14:paraId="3D7792F3" w14:textId="77777777" w:rsidR="00A64A69" w:rsidRPr="001F3E8C" w:rsidRDefault="00A64A69" w:rsidP="001F3E8C">
      <w:pPr>
        <w:pStyle w:val="Default"/>
        <w:numPr>
          <w:ilvl w:val="0"/>
          <w:numId w:val="44"/>
        </w:numPr>
        <w:jc w:val="both"/>
        <w:rPr>
          <w:sz w:val="22"/>
          <w:szCs w:val="22"/>
        </w:rPr>
      </w:pPr>
      <w:r w:rsidRPr="001F3E8C">
        <w:rPr>
          <w:sz w:val="22"/>
          <w:szCs w:val="22"/>
        </w:rPr>
        <w:t>Engaging the stakeholders involved in groups to whom the message is being delivered is the best way to make sure the message is tailored to that group (for example teachers and students targeted in the climate change books and mobile app).</w:t>
      </w:r>
    </w:p>
    <w:p w14:paraId="2F4D4C78" w14:textId="77777777" w:rsidR="00C71C10" w:rsidRPr="001F3E8C" w:rsidRDefault="00C71C10" w:rsidP="00F24233">
      <w:pPr>
        <w:pStyle w:val="Default"/>
        <w:rPr>
          <w:sz w:val="22"/>
          <w:szCs w:val="22"/>
        </w:rPr>
      </w:pPr>
    </w:p>
    <w:p w14:paraId="437B696A" w14:textId="77777777" w:rsidR="001F3E8C" w:rsidRDefault="00F24233" w:rsidP="00F24233">
      <w:pPr>
        <w:pStyle w:val="Default"/>
        <w:rPr>
          <w:sz w:val="22"/>
          <w:szCs w:val="22"/>
        </w:rPr>
      </w:pPr>
      <w:r w:rsidRPr="001F3E8C">
        <w:rPr>
          <w:sz w:val="22"/>
          <w:szCs w:val="22"/>
        </w:rPr>
        <w:t xml:space="preserve">Author: </w:t>
      </w:r>
      <w:r w:rsidR="00BC0189" w:rsidRPr="001F3E8C">
        <w:rPr>
          <w:sz w:val="22"/>
          <w:szCs w:val="22"/>
        </w:rPr>
        <w:t>David Simmons &amp; Christina Barradas-Brewster/ Consultants/ Caribbean/</w:t>
      </w:r>
      <w:r w:rsidR="001F3E8C">
        <w:rPr>
          <w:sz w:val="22"/>
          <w:szCs w:val="22"/>
        </w:rPr>
        <w:t xml:space="preserve"> </w:t>
      </w:r>
    </w:p>
    <w:p w14:paraId="7087EED5" w14:textId="77777777" w:rsidR="00BC0189" w:rsidRDefault="001F3E8C" w:rsidP="00F24233">
      <w:pPr>
        <w:pStyle w:val="Default"/>
        <w:rPr>
          <w:sz w:val="22"/>
          <w:szCs w:val="22"/>
        </w:rPr>
      </w:pPr>
      <w:r>
        <w:rPr>
          <w:sz w:val="22"/>
          <w:szCs w:val="22"/>
        </w:rPr>
        <w:t xml:space="preserve">Contact: </w:t>
      </w:r>
      <w:hyperlink r:id="rId15" w:history="1">
        <w:r w:rsidRPr="00F377F8">
          <w:rPr>
            <w:rStyle w:val="Hyperlink"/>
            <w:sz w:val="22"/>
            <w:szCs w:val="22"/>
          </w:rPr>
          <w:t>davidasimmons@outlook.com</w:t>
        </w:r>
      </w:hyperlink>
    </w:p>
    <w:p w14:paraId="29E24DBA" w14:textId="77777777" w:rsidR="00F24233" w:rsidRPr="001F3E8C" w:rsidRDefault="00F24233" w:rsidP="00F24233">
      <w:pPr>
        <w:pStyle w:val="Default"/>
        <w:rPr>
          <w:sz w:val="22"/>
          <w:szCs w:val="22"/>
        </w:rPr>
      </w:pPr>
      <w:r w:rsidRPr="001F3E8C">
        <w:rPr>
          <w:sz w:val="22"/>
          <w:szCs w:val="22"/>
        </w:rPr>
        <w:t xml:space="preserve">Location of Project: </w:t>
      </w:r>
      <w:r w:rsidR="00BC0189" w:rsidRPr="001F3E8C">
        <w:rPr>
          <w:sz w:val="22"/>
          <w:szCs w:val="22"/>
        </w:rPr>
        <w:t>Caribbean/</w:t>
      </w:r>
      <w:r w:rsidRPr="001F3E8C">
        <w:rPr>
          <w:sz w:val="22"/>
          <w:szCs w:val="22"/>
        </w:rPr>
        <w:t>OU/</w:t>
      </w:r>
      <w:r w:rsidR="00BC0189" w:rsidRPr="001F3E8C">
        <w:rPr>
          <w:sz w:val="22"/>
          <w:szCs w:val="22"/>
        </w:rPr>
        <w:t>Grenada</w:t>
      </w:r>
      <w:r w:rsidRPr="001F3E8C">
        <w:rPr>
          <w:sz w:val="22"/>
          <w:szCs w:val="22"/>
        </w:rPr>
        <w:t>/</w:t>
      </w:r>
      <w:r w:rsidR="00BC0189" w:rsidRPr="001F3E8C">
        <w:rPr>
          <w:sz w:val="22"/>
          <w:szCs w:val="22"/>
        </w:rPr>
        <w:t>St Andrew</w:t>
      </w:r>
      <w:r w:rsidRPr="001F3E8C">
        <w:rPr>
          <w:sz w:val="22"/>
          <w:szCs w:val="22"/>
        </w:rPr>
        <w:t xml:space="preserve"> </w:t>
      </w:r>
    </w:p>
    <w:p w14:paraId="69CCA538" w14:textId="77777777" w:rsidR="00F24233" w:rsidRPr="001F3E8C" w:rsidRDefault="00F24233" w:rsidP="00F24233">
      <w:pPr>
        <w:pStyle w:val="Default"/>
        <w:rPr>
          <w:sz w:val="22"/>
          <w:szCs w:val="22"/>
        </w:rPr>
      </w:pPr>
      <w:r w:rsidRPr="001F3E8C">
        <w:rPr>
          <w:sz w:val="22"/>
          <w:szCs w:val="22"/>
        </w:rPr>
        <w:t xml:space="preserve">MHT: What is the Major Habitat Type for this partnership? </w:t>
      </w:r>
      <w:r w:rsidR="007606C1" w:rsidRPr="001F3E8C">
        <w:rPr>
          <w:sz w:val="22"/>
          <w:szCs w:val="22"/>
        </w:rPr>
        <w:t>National</w:t>
      </w:r>
    </w:p>
    <w:p w14:paraId="6AEB4E93" w14:textId="77777777" w:rsidR="00F24233" w:rsidRPr="001F3E8C" w:rsidRDefault="00F24233" w:rsidP="00F24233">
      <w:pPr>
        <w:pStyle w:val="Default"/>
        <w:rPr>
          <w:sz w:val="22"/>
          <w:szCs w:val="22"/>
        </w:rPr>
      </w:pPr>
      <w:r w:rsidRPr="001F3E8C">
        <w:rPr>
          <w:sz w:val="22"/>
          <w:szCs w:val="22"/>
        </w:rPr>
        <w:t>Types of Partners: Government, Place-based NGO, International NGO,</w:t>
      </w:r>
      <w:r w:rsidR="007B6378" w:rsidRPr="001F3E8C">
        <w:rPr>
          <w:sz w:val="22"/>
          <w:szCs w:val="22"/>
        </w:rPr>
        <w:t xml:space="preserve"> </w:t>
      </w:r>
      <w:r w:rsidRPr="001F3E8C">
        <w:rPr>
          <w:sz w:val="22"/>
          <w:szCs w:val="22"/>
        </w:rPr>
        <w:t>Community Based Organization</w:t>
      </w:r>
      <w:r w:rsidR="002D53EA" w:rsidRPr="001F3E8C">
        <w:rPr>
          <w:sz w:val="22"/>
          <w:szCs w:val="22"/>
        </w:rPr>
        <w:t>.</w:t>
      </w:r>
    </w:p>
    <w:p w14:paraId="6032598F" w14:textId="77777777" w:rsidR="00F24233" w:rsidRPr="001F3E8C" w:rsidRDefault="00F24233" w:rsidP="00F24233">
      <w:pPr>
        <w:pStyle w:val="Default"/>
        <w:rPr>
          <w:sz w:val="22"/>
          <w:szCs w:val="22"/>
        </w:rPr>
      </w:pPr>
      <w:r w:rsidRPr="001F3E8C">
        <w:rPr>
          <w:sz w:val="22"/>
          <w:szCs w:val="22"/>
        </w:rPr>
        <w:t xml:space="preserve">Priority: </w:t>
      </w:r>
      <w:r w:rsidR="007606C1" w:rsidRPr="001F3E8C">
        <w:rPr>
          <w:sz w:val="22"/>
          <w:szCs w:val="22"/>
        </w:rPr>
        <w:t>Education</w:t>
      </w:r>
    </w:p>
    <w:p w14:paraId="06A29C0B" w14:textId="77777777" w:rsidR="00F24233" w:rsidRPr="001F3E8C" w:rsidRDefault="00F24233" w:rsidP="00F24233">
      <w:pPr>
        <w:pStyle w:val="Default"/>
        <w:rPr>
          <w:sz w:val="22"/>
          <w:szCs w:val="22"/>
        </w:rPr>
      </w:pPr>
      <w:r w:rsidRPr="001F3E8C">
        <w:rPr>
          <w:sz w:val="22"/>
          <w:szCs w:val="22"/>
        </w:rPr>
        <w:t xml:space="preserve">Date: </w:t>
      </w:r>
      <w:r w:rsidR="00BC0189" w:rsidRPr="001F3E8C">
        <w:rPr>
          <w:sz w:val="22"/>
          <w:szCs w:val="22"/>
        </w:rPr>
        <w:t>May 2018</w:t>
      </w:r>
      <w:r w:rsidRPr="001F3E8C">
        <w:rPr>
          <w:sz w:val="22"/>
          <w:szCs w:val="22"/>
        </w:rPr>
        <w:t xml:space="preserve"> </w:t>
      </w:r>
    </w:p>
    <w:p w14:paraId="2749045A" w14:textId="77777777" w:rsidR="00BF6720" w:rsidRPr="001F3E8C" w:rsidRDefault="007D7461" w:rsidP="00C43A9A">
      <w:pPr>
        <w:spacing w:after="0"/>
      </w:pPr>
      <w:r w:rsidRPr="001F3E8C">
        <w:t>Link</w:t>
      </w:r>
      <w:r w:rsidR="007B6378" w:rsidRPr="001F3E8C">
        <w:t>s:</w:t>
      </w:r>
      <w:r w:rsidRPr="001F3E8C">
        <w:t xml:space="preserve"> </w:t>
      </w:r>
      <w:hyperlink r:id="rId16" w:history="1">
        <w:r w:rsidR="001D4ADE" w:rsidRPr="001F3E8C">
          <w:rPr>
            <w:rStyle w:val="Hyperlink"/>
          </w:rPr>
          <w:t>http://www.iccas.gd/?q=about-iccas</w:t>
        </w:r>
      </w:hyperlink>
      <w:r w:rsidR="00BF6720" w:rsidRPr="001F3E8C">
        <w:t xml:space="preserve"> </w:t>
      </w:r>
    </w:p>
    <w:p w14:paraId="3738A692" w14:textId="77777777" w:rsidR="001D4ADE" w:rsidRPr="001F3E8C" w:rsidRDefault="000753DB" w:rsidP="00C43A9A">
      <w:pPr>
        <w:spacing w:after="0"/>
      </w:pPr>
      <w:hyperlink r:id="rId17" w:history="1">
        <w:r w:rsidR="00BF6720" w:rsidRPr="001F3E8C">
          <w:rPr>
            <w:rStyle w:val="Hyperlink"/>
          </w:rPr>
          <w:t>https://www.greenclimate.fund/-/climate-resilient-water-sector-in-grenada-g-crews-</w:t>
        </w:r>
      </w:hyperlink>
    </w:p>
    <w:p w14:paraId="135AF985" w14:textId="77777777" w:rsidR="000C3319" w:rsidRPr="001F3E8C" w:rsidRDefault="000753DB" w:rsidP="00C43A9A">
      <w:pPr>
        <w:spacing w:after="0"/>
      </w:pPr>
      <w:hyperlink r:id="rId18" w:history="1">
        <w:r w:rsidR="00BF6720" w:rsidRPr="001F3E8C">
          <w:rPr>
            <w:rStyle w:val="Hyperlink"/>
          </w:rPr>
          <w:t>http://www.adaptation-undp.org/projects/japan-caribbean-climate-change-partnership</w:t>
        </w:r>
      </w:hyperlink>
      <w:r w:rsidR="00E32582" w:rsidRPr="001F3E8C">
        <w:t xml:space="preserve"> </w:t>
      </w:r>
      <w:hyperlink r:id="rId19" w:history="1">
        <w:r w:rsidR="00E32582" w:rsidRPr="001F3E8C">
          <w:rPr>
            <w:rStyle w:val="Hyperlink"/>
          </w:rPr>
          <w:t>http://www.gov.gd/egov/news/2017/oct17/10_10_17/item_1/green-climate-fund-approves-readness-preparatory-support-programme-grenada.html</w:t>
        </w:r>
      </w:hyperlink>
    </w:p>
    <w:p w14:paraId="24232BED" w14:textId="77777777" w:rsidR="00F24233" w:rsidRPr="007D7461" w:rsidRDefault="00F24233" w:rsidP="00735635"/>
    <w:sectPr w:rsidR="00F24233" w:rsidRPr="007D7461" w:rsidSect="001F3E8C">
      <w:type w:val="continuous"/>
      <w:pgSz w:w="12240" w:h="16340"/>
      <w:pgMar w:top="1440" w:right="1008" w:bottom="1440" w:left="1008" w:header="720" w:footer="720" w:gutter="0"/>
      <w:pgNumType w:fmt="numberInDash"/>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DBFD" w14:textId="77777777" w:rsidR="00C94A1B" w:rsidRDefault="00C94A1B" w:rsidP="009F6A04">
      <w:pPr>
        <w:spacing w:after="0" w:line="240" w:lineRule="auto"/>
      </w:pPr>
      <w:r>
        <w:separator/>
      </w:r>
    </w:p>
  </w:endnote>
  <w:endnote w:type="continuationSeparator" w:id="0">
    <w:p w14:paraId="4BC67C52" w14:textId="77777777" w:rsidR="00C94A1B" w:rsidRDefault="00C94A1B"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44968"/>
      <w:docPartObj>
        <w:docPartGallery w:val="Page Numbers (Bottom of Page)"/>
        <w:docPartUnique/>
      </w:docPartObj>
    </w:sdtPr>
    <w:sdtEndPr>
      <w:rPr>
        <w:noProof/>
      </w:rPr>
    </w:sdtEndPr>
    <w:sdtContent>
      <w:p w14:paraId="3CC4AF2D" w14:textId="2A12A492" w:rsidR="008A1A30" w:rsidRDefault="008A1A30">
        <w:pPr>
          <w:pStyle w:val="Footer"/>
          <w:jc w:val="center"/>
        </w:pPr>
        <w:r>
          <w:fldChar w:fldCharType="begin"/>
        </w:r>
        <w:r>
          <w:instrText xml:space="preserve"> PAGE   \* MERGEFORMAT </w:instrText>
        </w:r>
        <w:r>
          <w:fldChar w:fldCharType="separate"/>
        </w:r>
        <w:r w:rsidR="000753DB">
          <w:rPr>
            <w:noProof/>
          </w:rPr>
          <w:t>- 3 -</w:t>
        </w:r>
        <w:r>
          <w:rPr>
            <w:noProof/>
          </w:rPr>
          <w:fldChar w:fldCharType="end"/>
        </w:r>
      </w:p>
    </w:sdtContent>
  </w:sdt>
  <w:p w14:paraId="608120B2" w14:textId="77777777" w:rsidR="008A1A30" w:rsidRDefault="008A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CF05" w14:textId="77777777" w:rsidR="00C94A1B" w:rsidRDefault="00C94A1B" w:rsidP="009F6A04">
      <w:pPr>
        <w:spacing w:after="0" w:line="240" w:lineRule="auto"/>
      </w:pPr>
      <w:r>
        <w:separator/>
      </w:r>
    </w:p>
  </w:footnote>
  <w:footnote w:type="continuationSeparator" w:id="0">
    <w:p w14:paraId="0F5AD73B" w14:textId="77777777" w:rsidR="00C94A1B" w:rsidRDefault="00C94A1B"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4E1"/>
    <w:multiLevelType w:val="hybridMultilevel"/>
    <w:tmpl w:val="9E4EBF5E"/>
    <w:lvl w:ilvl="0" w:tplc="2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1CC1489"/>
    <w:multiLevelType w:val="hybridMultilevel"/>
    <w:tmpl w:val="08806CD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5C04F24"/>
    <w:multiLevelType w:val="hybridMultilevel"/>
    <w:tmpl w:val="CFC2FB3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CD85B23"/>
    <w:multiLevelType w:val="hybridMultilevel"/>
    <w:tmpl w:val="DB587D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0DA46CE2"/>
    <w:multiLevelType w:val="hybridMultilevel"/>
    <w:tmpl w:val="B8B22512"/>
    <w:lvl w:ilvl="0" w:tplc="2C090017">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5" w15:restartNumberingAfterBreak="0">
    <w:nsid w:val="0F7D518A"/>
    <w:multiLevelType w:val="hybridMultilevel"/>
    <w:tmpl w:val="F448F28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11367EF9"/>
    <w:multiLevelType w:val="hybridMultilevel"/>
    <w:tmpl w:val="FE98C15C"/>
    <w:lvl w:ilvl="0" w:tplc="2C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11510A83"/>
    <w:multiLevelType w:val="hybridMultilevel"/>
    <w:tmpl w:val="F9E0D35C"/>
    <w:lvl w:ilvl="0" w:tplc="04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12C95B84"/>
    <w:multiLevelType w:val="hybridMultilevel"/>
    <w:tmpl w:val="09B817F6"/>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193C45C2"/>
    <w:multiLevelType w:val="hybridMultilevel"/>
    <w:tmpl w:val="8640CEDE"/>
    <w:lvl w:ilvl="0" w:tplc="2C090001">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0" w15:restartNumberingAfterBreak="0">
    <w:nsid w:val="196C697C"/>
    <w:multiLevelType w:val="hybridMultilevel"/>
    <w:tmpl w:val="ED14B4D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19980CF5"/>
    <w:multiLevelType w:val="hybridMultilevel"/>
    <w:tmpl w:val="EE0273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1A8A556F"/>
    <w:multiLevelType w:val="hybridMultilevel"/>
    <w:tmpl w:val="8E5CD5D6"/>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3" w15:restartNumberingAfterBreak="0">
    <w:nsid w:val="1C551DCB"/>
    <w:multiLevelType w:val="hybridMultilevel"/>
    <w:tmpl w:val="BAA2673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280173AC"/>
    <w:multiLevelType w:val="hybridMultilevel"/>
    <w:tmpl w:val="1700B94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30B25C65"/>
    <w:multiLevelType w:val="hybridMultilevel"/>
    <w:tmpl w:val="CE76FE1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15:restartNumberingAfterBreak="0">
    <w:nsid w:val="30FE4B09"/>
    <w:multiLevelType w:val="hybridMultilevel"/>
    <w:tmpl w:val="5DA8617A"/>
    <w:lvl w:ilvl="0" w:tplc="2C09000F">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395D57AD"/>
    <w:multiLevelType w:val="hybridMultilevel"/>
    <w:tmpl w:val="D8B89F1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9" w15:restartNumberingAfterBreak="0">
    <w:nsid w:val="39E25F05"/>
    <w:multiLevelType w:val="hybridMultilevel"/>
    <w:tmpl w:val="3774B9D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15:restartNumberingAfterBreak="0">
    <w:nsid w:val="3BBA0FE8"/>
    <w:multiLevelType w:val="hybridMultilevel"/>
    <w:tmpl w:val="C78CC69A"/>
    <w:lvl w:ilvl="0" w:tplc="2C09000B">
      <w:start w:val="1"/>
      <w:numFmt w:val="bullet"/>
      <w:lvlText w:val=""/>
      <w:lvlJc w:val="left"/>
      <w:pPr>
        <w:ind w:left="1440" w:hanging="360"/>
      </w:pPr>
      <w:rPr>
        <w:rFonts w:ascii="Wingdings" w:hAnsi="Wingding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22" w15:restartNumberingAfterBreak="0">
    <w:nsid w:val="3CA2447E"/>
    <w:multiLevelType w:val="hybridMultilevel"/>
    <w:tmpl w:val="276E018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3" w15:restartNumberingAfterBreak="0">
    <w:nsid w:val="3FC1119D"/>
    <w:multiLevelType w:val="hybridMultilevel"/>
    <w:tmpl w:val="B62418D6"/>
    <w:lvl w:ilvl="0" w:tplc="2C09000F">
      <w:start w:val="1"/>
      <w:numFmt w:val="decimal"/>
      <w:lvlText w:val="%1."/>
      <w:lvlJc w:val="left"/>
      <w:pPr>
        <w:ind w:left="780" w:hanging="360"/>
      </w:pPr>
    </w:lvl>
    <w:lvl w:ilvl="1" w:tplc="2C090019" w:tentative="1">
      <w:start w:val="1"/>
      <w:numFmt w:val="lowerLetter"/>
      <w:lvlText w:val="%2."/>
      <w:lvlJc w:val="left"/>
      <w:pPr>
        <w:ind w:left="1500" w:hanging="360"/>
      </w:pPr>
    </w:lvl>
    <w:lvl w:ilvl="2" w:tplc="2C09001B" w:tentative="1">
      <w:start w:val="1"/>
      <w:numFmt w:val="lowerRoman"/>
      <w:lvlText w:val="%3."/>
      <w:lvlJc w:val="right"/>
      <w:pPr>
        <w:ind w:left="2220" w:hanging="180"/>
      </w:pPr>
    </w:lvl>
    <w:lvl w:ilvl="3" w:tplc="2C09000F" w:tentative="1">
      <w:start w:val="1"/>
      <w:numFmt w:val="decimal"/>
      <w:lvlText w:val="%4."/>
      <w:lvlJc w:val="left"/>
      <w:pPr>
        <w:ind w:left="2940" w:hanging="360"/>
      </w:pPr>
    </w:lvl>
    <w:lvl w:ilvl="4" w:tplc="2C090019" w:tentative="1">
      <w:start w:val="1"/>
      <w:numFmt w:val="lowerLetter"/>
      <w:lvlText w:val="%5."/>
      <w:lvlJc w:val="left"/>
      <w:pPr>
        <w:ind w:left="3660" w:hanging="360"/>
      </w:pPr>
    </w:lvl>
    <w:lvl w:ilvl="5" w:tplc="2C09001B" w:tentative="1">
      <w:start w:val="1"/>
      <w:numFmt w:val="lowerRoman"/>
      <w:lvlText w:val="%6."/>
      <w:lvlJc w:val="right"/>
      <w:pPr>
        <w:ind w:left="4380" w:hanging="180"/>
      </w:pPr>
    </w:lvl>
    <w:lvl w:ilvl="6" w:tplc="2C09000F" w:tentative="1">
      <w:start w:val="1"/>
      <w:numFmt w:val="decimal"/>
      <w:lvlText w:val="%7."/>
      <w:lvlJc w:val="left"/>
      <w:pPr>
        <w:ind w:left="5100" w:hanging="360"/>
      </w:pPr>
    </w:lvl>
    <w:lvl w:ilvl="7" w:tplc="2C090019" w:tentative="1">
      <w:start w:val="1"/>
      <w:numFmt w:val="lowerLetter"/>
      <w:lvlText w:val="%8."/>
      <w:lvlJc w:val="left"/>
      <w:pPr>
        <w:ind w:left="5820" w:hanging="360"/>
      </w:pPr>
    </w:lvl>
    <w:lvl w:ilvl="8" w:tplc="2C09001B" w:tentative="1">
      <w:start w:val="1"/>
      <w:numFmt w:val="lowerRoman"/>
      <w:lvlText w:val="%9."/>
      <w:lvlJc w:val="right"/>
      <w:pPr>
        <w:ind w:left="6540" w:hanging="180"/>
      </w:pPr>
    </w:lvl>
  </w:abstractNum>
  <w:abstractNum w:abstractNumId="24"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5" w15:restartNumberingAfterBreak="0">
    <w:nsid w:val="46ED3CDA"/>
    <w:multiLevelType w:val="hybridMultilevel"/>
    <w:tmpl w:val="DA522B7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15:restartNumberingAfterBreak="0">
    <w:nsid w:val="48CA1E8F"/>
    <w:multiLevelType w:val="hybridMultilevel"/>
    <w:tmpl w:val="FE34DB5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7" w15:restartNumberingAfterBreak="0">
    <w:nsid w:val="51696E1F"/>
    <w:multiLevelType w:val="hybridMultilevel"/>
    <w:tmpl w:val="A2F05BC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8" w15:restartNumberingAfterBreak="0">
    <w:nsid w:val="5598675D"/>
    <w:multiLevelType w:val="hybridMultilevel"/>
    <w:tmpl w:val="63C62C9A"/>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9" w15:restartNumberingAfterBreak="0">
    <w:nsid w:val="58FB6BA8"/>
    <w:multiLevelType w:val="hybridMultilevel"/>
    <w:tmpl w:val="98C2FAD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0" w15:restartNumberingAfterBreak="0">
    <w:nsid w:val="5BCB472E"/>
    <w:multiLevelType w:val="hybridMultilevel"/>
    <w:tmpl w:val="C47ECE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1" w15:restartNumberingAfterBreak="0">
    <w:nsid w:val="5CC248A6"/>
    <w:multiLevelType w:val="hybridMultilevel"/>
    <w:tmpl w:val="AA9C8D4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2" w15:restartNumberingAfterBreak="0">
    <w:nsid w:val="5DD61F01"/>
    <w:multiLevelType w:val="hybridMultilevel"/>
    <w:tmpl w:val="9E9418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3" w15:restartNumberingAfterBreak="0">
    <w:nsid w:val="61E14B24"/>
    <w:multiLevelType w:val="hybridMultilevel"/>
    <w:tmpl w:val="B20E667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4"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5" w15:restartNumberingAfterBreak="0">
    <w:nsid w:val="64F42990"/>
    <w:multiLevelType w:val="hybridMultilevel"/>
    <w:tmpl w:val="895C373A"/>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6" w15:restartNumberingAfterBreak="0">
    <w:nsid w:val="69C91E89"/>
    <w:multiLevelType w:val="hybridMultilevel"/>
    <w:tmpl w:val="66E027E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7" w15:restartNumberingAfterBreak="0">
    <w:nsid w:val="6B974546"/>
    <w:multiLevelType w:val="hybridMultilevel"/>
    <w:tmpl w:val="B48293C4"/>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8" w15:restartNumberingAfterBreak="0">
    <w:nsid w:val="6E24225E"/>
    <w:multiLevelType w:val="hybridMultilevel"/>
    <w:tmpl w:val="BC2EC43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9" w15:restartNumberingAfterBreak="0">
    <w:nsid w:val="6E2F52D2"/>
    <w:multiLevelType w:val="hybridMultilevel"/>
    <w:tmpl w:val="1CEAADF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0" w15:restartNumberingAfterBreak="0">
    <w:nsid w:val="73223743"/>
    <w:multiLevelType w:val="hybridMultilevel"/>
    <w:tmpl w:val="25929CFA"/>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1" w15:restartNumberingAfterBreak="0">
    <w:nsid w:val="7503425F"/>
    <w:multiLevelType w:val="hybridMultilevel"/>
    <w:tmpl w:val="1524455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2" w15:restartNumberingAfterBreak="0">
    <w:nsid w:val="785E0F35"/>
    <w:multiLevelType w:val="hybridMultilevel"/>
    <w:tmpl w:val="5E1A6BB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3" w15:restartNumberingAfterBreak="0">
    <w:nsid w:val="79770A92"/>
    <w:multiLevelType w:val="hybridMultilevel"/>
    <w:tmpl w:val="FDFA01C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4" w15:restartNumberingAfterBreak="0">
    <w:nsid w:val="7DED3DFD"/>
    <w:multiLevelType w:val="hybridMultilevel"/>
    <w:tmpl w:val="DAF2151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4"/>
  </w:num>
  <w:num w:numId="2">
    <w:abstractNumId w:val="34"/>
  </w:num>
  <w:num w:numId="3">
    <w:abstractNumId w:val="24"/>
  </w:num>
  <w:num w:numId="4">
    <w:abstractNumId w:val="20"/>
  </w:num>
  <w:num w:numId="5">
    <w:abstractNumId w:val="19"/>
  </w:num>
  <w:num w:numId="6">
    <w:abstractNumId w:val="38"/>
  </w:num>
  <w:num w:numId="7">
    <w:abstractNumId w:val="27"/>
  </w:num>
  <w:num w:numId="8">
    <w:abstractNumId w:val="18"/>
  </w:num>
  <w:num w:numId="9">
    <w:abstractNumId w:val="15"/>
  </w:num>
  <w:num w:numId="10">
    <w:abstractNumId w:val="6"/>
  </w:num>
  <w:num w:numId="11">
    <w:abstractNumId w:val="32"/>
  </w:num>
  <w:num w:numId="12">
    <w:abstractNumId w:val="11"/>
  </w:num>
  <w:num w:numId="13">
    <w:abstractNumId w:val="30"/>
  </w:num>
  <w:num w:numId="14">
    <w:abstractNumId w:val="3"/>
  </w:num>
  <w:num w:numId="15">
    <w:abstractNumId w:val="5"/>
  </w:num>
  <w:num w:numId="16">
    <w:abstractNumId w:val="29"/>
  </w:num>
  <w:num w:numId="17">
    <w:abstractNumId w:val="17"/>
  </w:num>
  <w:num w:numId="18">
    <w:abstractNumId w:val="36"/>
  </w:num>
  <w:num w:numId="19">
    <w:abstractNumId w:val="28"/>
  </w:num>
  <w:num w:numId="20">
    <w:abstractNumId w:val="4"/>
  </w:num>
  <w:num w:numId="21">
    <w:abstractNumId w:val="21"/>
  </w:num>
  <w:num w:numId="22">
    <w:abstractNumId w:val="43"/>
  </w:num>
  <w:num w:numId="23">
    <w:abstractNumId w:val="41"/>
  </w:num>
  <w:num w:numId="24">
    <w:abstractNumId w:val="37"/>
  </w:num>
  <w:num w:numId="25">
    <w:abstractNumId w:val="26"/>
  </w:num>
  <w:num w:numId="26">
    <w:abstractNumId w:val="33"/>
  </w:num>
  <w:num w:numId="27">
    <w:abstractNumId w:val="25"/>
  </w:num>
  <w:num w:numId="28">
    <w:abstractNumId w:val="39"/>
  </w:num>
  <w:num w:numId="29">
    <w:abstractNumId w:val="0"/>
  </w:num>
  <w:num w:numId="30">
    <w:abstractNumId w:val="7"/>
  </w:num>
  <w:num w:numId="31">
    <w:abstractNumId w:val="13"/>
  </w:num>
  <w:num w:numId="32">
    <w:abstractNumId w:val="10"/>
  </w:num>
  <w:num w:numId="33">
    <w:abstractNumId w:val="23"/>
  </w:num>
  <w:num w:numId="34">
    <w:abstractNumId w:val="12"/>
  </w:num>
  <w:num w:numId="35">
    <w:abstractNumId w:val="9"/>
  </w:num>
  <w:num w:numId="36">
    <w:abstractNumId w:val="40"/>
  </w:num>
  <w:num w:numId="37">
    <w:abstractNumId w:val="1"/>
  </w:num>
  <w:num w:numId="38">
    <w:abstractNumId w:val="31"/>
  </w:num>
  <w:num w:numId="39">
    <w:abstractNumId w:val="35"/>
  </w:num>
  <w:num w:numId="40">
    <w:abstractNumId w:val="22"/>
  </w:num>
  <w:num w:numId="41">
    <w:abstractNumId w:val="8"/>
  </w:num>
  <w:num w:numId="42">
    <w:abstractNumId w:val="16"/>
  </w:num>
  <w:num w:numId="43">
    <w:abstractNumId w:val="2"/>
  </w:num>
  <w:num w:numId="44">
    <w:abstractNumId w:val="4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qwUAGcSsjSwAAAA="/>
  </w:docVars>
  <w:rsids>
    <w:rsidRoot w:val="00F24233"/>
    <w:rsid w:val="0001359D"/>
    <w:rsid w:val="000204E0"/>
    <w:rsid w:val="00035762"/>
    <w:rsid w:val="00051511"/>
    <w:rsid w:val="00053E2D"/>
    <w:rsid w:val="00054D30"/>
    <w:rsid w:val="000753DB"/>
    <w:rsid w:val="00082722"/>
    <w:rsid w:val="000A0AEA"/>
    <w:rsid w:val="000A21A2"/>
    <w:rsid w:val="000C254C"/>
    <w:rsid w:val="000C3319"/>
    <w:rsid w:val="000E03C3"/>
    <w:rsid w:val="000E71AE"/>
    <w:rsid w:val="000F5752"/>
    <w:rsid w:val="000F65CB"/>
    <w:rsid w:val="00100812"/>
    <w:rsid w:val="0010767F"/>
    <w:rsid w:val="0012100D"/>
    <w:rsid w:val="001237BB"/>
    <w:rsid w:val="0017060A"/>
    <w:rsid w:val="00180C4B"/>
    <w:rsid w:val="00181E9A"/>
    <w:rsid w:val="00194546"/>
    <w:rsid w:val="001A1E7D"/>
    <w:rsid w:val="001B3916"/>
    <w:rsid w:val="001B57E1"/>
    <w:rsid w:val="001B64D1"/>
    <w:rsid w:val="001B7F87"/>
    <w:rsid w:val="001D4ADE"/>
    <w:rsid w:val="001F3E8C"/>
    <w:rsid w:val="00211DB4"/>
    <w:rsid w:val="00214449"/>
    <w:rsid w:val="002176EC"/>
    <w:rsid w:val="002262F0"/>
    <w:rsid w:val="00255C96"/>
    <w:rsid w:val="00256BD4"/>
    <w:rsid w:val="00266CA5"/>
    <w:rsid w:val="00274479"/>
    <w:rsid w:val="00277870"/>
    <w:rsid w:val="002820AE"/>
    <w:rsid w:val="002864F8"/>
    <w:rsid w:val="00290514"/>
    <w:rsid w:val="00297027"/>
    <w:rsid w:val="002A4DE7"/>
    <w:rsid w:val="002B5E91"/>
    <w:rsid w:val="002D53EA"/>
    <w:rsid w:val="002D77BD"/>
    <w:rsid w:val="00301B1E"/>
    <w:rsid w:val="0030201D"/>
    <w:rsid w:val="00303E1E"/>
    <w:rsid w:val="00314357"/>
    <w:rsid w:val="00315409"/>
    <w:rsid w:val="003244F6"/>
    <w:rsid w:val="0034797B"/>
    <w:rsid w:val="003515C5"/>
    <w:rsid w:val="00357319"/>
    <w:rsid w:val="00364321"/>
    <w:rsid w:val="00375D48"/>
    <w:rsid w:val="00381175"/>
    <w:rsid w:val="00393E3C"/>
    <w:rsid w:val="003A7A71"/>
    <w:rsid w:val="003C0533"/>
    <w:rsid w:val="003C550F"/>
    <w:rsid w:val="003D07BC"/>
    <w:rsid w:val="003E15FD"/>
    <w:rsid w:val="00423FF6"/>
    <w:rsid w:val="004372B7"/>
    <w:rsid w:val="0044678D"/>
    <w:rsid w:val="00474DF6"/>
    <w:rsid w:val="00475D0E"/>
    <w:rsid w:val="00487EE5"/>
    <w:rsid w:val="004B05DF"/>
    <w:rsid w:val="004C4179"/>
    <w:rsid w:val="0050096A"/>
    <w:rsid w:val="00506210"/>
    <w:rsid w:val="00522C59"/>
    <w:rsid w:val="005462C6"/>
    <w:rsid w:val="00547148"/>
    <w:rsid w:val="00565D11"/>
    <w:rsid w:val="005920D6"/>
    <w:rsid w:val="005F54E8"/>
    <w:rsid w:val="006316AB"/>
    <w:rsid w:val="00642693"/>
    <w:rsid w:val="00655BF9"/>
    <w:rsid w:val="006755E0"/>
    <w:rsid w:val="00683D7A"/>
    <w:rsid w:val="00694FA4"/>
    <w:rsid w:val="006A4458"/>
    <w:rsid w:val="006A7D01"/>
    <w:rsid w:val="006B1371"/>
    <w:rsid w:val="006D5CC3"/>
    <w:rsid w:val="006D7DC8"/>
    <w:rsid w:val="006E79A7"/>
    <w:rsid w:val="00706162"/>
    <w:rsid w:val="00706755"/>
    <w:rsid w:val="00711DEA"/>
    <w:rsid w:val="00717682"/>
    <w:rsid w:val="00735635"/>
    <w:rsid w:val="007523B3"/>
    <w:rsid w:val="0075619C"/>
    <w:rsid w:val="007606C1"/>
    <w:rsid w:val="0076135C"/>
    <w:rsid w:val="00793B79"/>
    <w:rsid w:val="007B0F81"/>
    <w:rsid w:val="007B2D82"/>
    <w:rsid w:val="007B6378"/>
    <w:rsid w:val="007D7461"/>
    <w:rsid w:val="007F754B"/>
    <w:rsid w:val="00805701"/>
    <w:rsid w:val="0080642A"/>
    <w:rsid w:val="00806A35"/>
    <w:rsid w:val="00806A7F"/>
    <w:rsid w:val="0081668B"/>
    <w:rsid w:val="0084392E"/>
    <w:rsid w:val="00880208"/>
    <w:rsid w:val="00887E53"/>
    <w:rsid w:val="008A1A30"/>
    <w:rsid w:val="008C3916"/>
    <w:rsid w:val="008F3E88"/>
    <w:rsid w:val="008F447C"/>
    <w:rsid w:val="00916704"/>
    <w:rsid w:val="00933DC9"/>
    <w:rsid w:val="00953331"/>
    <w:rsid w:val="00954617"/>
    <w:rsid w:val="00990DCF"/>
    <w:rsid w:val="009913E4"/>
    <w:rsid w:val="00992147"/>
    <w:rsid w:val="00993431"/>
    <w:rsid w:val="009B4D7C"/>
    <w:rsid w:val="009B58E9"/>
    <w:rsid w:val="009D5613"/>
    <w:rsid w:val="009F0A21"/>
    <w:rsid w:val="009F6A04"/>
    <w:rsid w:val="00A01AB7"/>
    <w:rsid w:val="00A03EB9"/>
    <w:rsid w:val="00A166BB"/>
    <w:rsid w:val="00A2194C"/>
    <w:rsid w:val="00A34A9B"/>
    <w:rsid w:val="00A42EB5"/>
    <w:rsid w:val="00A43935"/>
    <w:rsid w:val="00A5109A"/>
    <w:rsid w:val="00A64A69"/>
    <w:rsid w:val="00A875A0"/>
    <w:rsid w:val="00A92307"/>
    <w:rsid w:val="00A92CC6"/>
    <w:rsid w:val="00A93BF2"/>
    <w:rsid w:val="00AC7CC9"/>
    <w:rsid w:val="00AD177F"/>
    <w:rsid w:val="00AD71F9"/>
    <w:rsid w:val="00AE266C"/>
    <w:rsid w:val="00AE56D8"/>
    <w:rsid w:val="00B02FE9"/>
    <w:rsid w:val="00B145BD"/>
    <w:rsid w:val="00B15635"/>
    <w:rsid w:val="00B445E4"/>
    <w:rsid w:val="00B6221C"/>
    <w:rsid w:val="00B756A0"/>
    <w:rsid w:val="00B8464A"/>
    <w:rsid w:val="00B96B6C"/>
    <w:rsid w:val="00BC0189"/>
    <w:rsid w:val="00BE7281"/>
    <w:rsid w:val="00BF1F5E"/>
    <w:rsid w:val="00BF6720"/>
    <w:rsid w:val="00C00DAA"/>
    <w:rsid w:val="00C34587"/>
    <w:rsid w:val="00C36EBC"/>
    <w:rsid w:val="00C40459"/>
    <w:rsid w:val="00C43A9A"/>
    <w:rsid w:val="00C500C3"/>
    <w:rsid w:val="00C50A1C"/>
    <w:rsid w:val="00C52C99"/>
    <w:rsid w:val="00C62BCC"/>
    <w:rsid w:val="00C66251"/>
    <w:rsid w:val="00C71C10"/>
    <w:rsid w:val="00C84C5C"/>
    <w:rsid w:val="00C94A1B"/>
    <w:rsid w:val="00C9564A"/>
    <w:rsid w:val="00C97572"/>
    <w:rsid w:val="00CA3111"/>
    <w:rsid w:val="00CA3E06"/>
    <w:rsid w:val="00CD32E5"/>
    <w:rsid w:val="00CD5563"/>
    <w:rsid w:val="00CE3BAB"/>
    <w:rsid w:val="00D008F3"/>
    <w:rsid w:val="00D018F4"/>
    <w:rsid w:val="00D05B1E"/>
    <w:rsid w:val="00D133B8"/>
    <w:rsid w:val="00D31167"/>
    <w:rsid w:val="00D41A89"/>
    <w:rsid w:val="00D502BC"/>
    <w:rsid w:val="00D5130C"/>
    <w:rsid w:val="00D51F53"/>
    <w:rsid w:val="00D61C9E"/>
    <w:rsid w:val="00D91690"/>
    <w:rsid w:val="00D954B1"/>
    <w:rsid w:val="00DA340C"/>
    <w:rsid w:val="00DB088F"/>
    <w:rsid w:val="00DC552C"/>
    <w:rsid w:val="00DF3D02"/>
    <w:rsid w:val="00E131BA"/>
    <w:rsid w:val="00E31953"/>
    <w:rsid w:val="00E3220C"/>
    <w:rsid w:val="00E32582"/>
    <w:rsid w:val="00E56C42"/>
    <w:rsid w:val="00E57851"/>
    <w:rsid w:val="00E6248C"/>
    <w:rsid w:val="00E64F56"/>
    <w:rsid w:val="00E65AD6"/>
    <w:rsid w:val="00E726AE"/>
    <w:rsid w:val="00E75B86"/>
    <w:rsid w:val="00E80EA6"/>
    <w:rsid w:val="00EA5F07"/>
    <w:rsid w:val="00ED1109"/>
    <w:rsid w:val="00EF14AF"/>
    <w:rsid w:val="00EF304D"/>
    <w:rsid w:val="00F24233"/>
    <w:rsid w:val="00F3302A"/>
    <w:rsid w:val="00F41797"/>
    <w:rsid w:val="00F43EA5"/>
    <w:rsid w:val="00F5403D"/>
    <w:rsid w:val="00F57A1A"/>
    <w:rsid w:val="00F71537"/>
    <w:rsid w:val="00F77246"/>
    <w:rsid w:val="00F963D3"/>
    <w:rsid w:val="00FA5058"/>
    <w:rsid w:val="00FD380D"/>
    <w:rsid w:val="00FE5C37"/>
    <w:rsid w:val="00FF58E0"/>
    <w:rsid w:val="00FF5F1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F71C"/>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table" w:customStyle="1" w:styleId="TableGrid1">
    <w:name w:val="Table Grid1"/>
    <w:basedOn w:val="TableNormal"/>
    <w:next w:val="TableGrid"/>
    <w:uiPriority w:val="39"/>
    <w:rsid w:val="00B0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4F6"/>
    <w:pPr>
      <w:ind w:left="720"/>
      <w:contextualSpacing/>
    </w:pPr>
  </w:style>
  <w:style w:type="character" w:styleId="UnresolvedMention">
    <w:name w:val="Unresolved Mention"/>
    <w:basedOn w:val="DefaultParagraphFont"/>
    <w:uiPriority w:val="99"/>
    <w:semiHidden/>
    <w:unhideWhenUsed/>
    <w:rsid w:val="000C33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Asimmons@outlook.com" TargetMode="External"/><Relationship Id="rId18" Type="http://schemas.openxmlformats.org/officeDocument/2006/relationships/hyperlink" Target="http://www.adaptation-undp.org/projects/japan-caribbean-climate-change-partnersh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reenclimate.fund/-/climate-resilient-water-sector-in-grenada-g-crews-" TargetMode="External"/><Relationship Id="rId2" Type="http://schemas.openxmlformats.org/officeDocument/2006/relationships/numbering" Target="numbering.xml"/><Relationship Id="rId16" Type="http://schemas.openxmlformats.org/officeDocument/2006/relationships/hyperlink" Target="http://www.iccas.gd/?q=about-icc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vidasimmons@outlook.com" TargetMode="External"/><Relationship Id="rId10" Type="http://schemas.openxmlformats.org/officeDocument/2006/relationships/image" Target="media/image3.png"/><Relationship Id="rId19" Type="http://schemas.openxmlformats.org/officeDocument/2006/relationships/hyperlink" Target="http://www.gov.gd/egov/news/2017/oct17/10_10_17/item_1/green-climate-fund-approves-readness-preparatory-support-programme-grenad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23E0-2774-4DC5-9F4A-7E80E818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3</cp:revision>
  <cp:lastPrinted>2018-03-31T18:33:00Z</cp:lastPrinted>
  <dcterms:created xsi:type="dcterms:W3CDTF">2018-06-07T14:56:00Z</dcterms:created>
  <dcterms:modified xsi:type="dcterms:W3CDTF">2018-06-07T14:58:00Z</dcterms:modified>
</cp:coreProperties>
</file>