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E6E3E" w14:textId="77777777" w:rsidR="0008031E" w:rsidRPr="0008031E" w:rsidRDefault="0008031E" w:rsidP="0008031E">
      <w:pPr>
        <w:jc w:val="center"/>
        <w:rPr>
          <w:b/>
        </w:rPr>
      </w:pPr>
      <w:r w:rsidRPr="0008031E">
        <w:rPr>
          <w:b/>
        </w:rPr>
        <w:t>Strengthening climate information and early warning systems in Eastern and</w:t>
      </w:r>
    </w:p>
    <w:p w14:paraId="16B69933" w14:textId="070CBA18" w:rsidR="00710DEE" w:rsidRDefault="0008031E" w:rsidP="0008031E">
      <w:pPr>
        <w:jc w:val="center"/>
        <w:rPr>
          <w:b/>
        </w:rPr>
      </w:pPr>
      <w:r w:rsidRPr="0008031E">
        <w:rPr>
          <w:b/>
        </w:rPr>
        <w:t>Southern Africa for climate resilient development and adaptation to climate change – Global</w:t>
      </w:r>
    </w:p>
    <w:p w14:paraId="0E4BE8D6" w14:textId="1130237A" w:rsidR="0008031E" w:rsidRDefault="0008031E" w:rsidP="0008031E">
      <w:pPr>
        <w:jc w:val="center"/>
        <w:rPr>
          <w:b/>
        </w:rPr>
      </w:pPr>
    </w:p>
    <w:p w14:paraId="7ECDA89A" w14:textId="02665499" w:rsidR="0008031E" w:rsidRDefault="0008031E" w:rsidP="0008031E">
      <w:pPr>
        <w:jc w:val="center"/>
        <w:rPr>
          <w:b/>
        </w:rPr>
      </w:pPr>
      <w:proofErr w:type="spellStart"/>
      <w:r>
        <w:rPr>
          <w:b/>
        </w:rPr>
        <w:t>Programme</w:t>
      </w:r>
      <w:proofErr w:type="spellEnd"/>
      <w:r>
        <w:rPr>
          <w:b/>
        </w:rPr>
        <w:t xml:space="preserve"> completion report</w:t>
      </w:r>
    </w:p>
    <w:p w14:paraId="2AC8285B" w14:textId="5BC0FC6F" w:rsidR="0008031E" w:rsidRDefault="0008031E" w:rsidP="0008031E">
      <w:pPr>
        <w:jc w:val="center"/>
        <w:rPr>
          <w:b/>
        </w:rPr>
      </w:pPr>
    </w:p>
    <w:p w14:paraId="15A102D9" w14:textId="397505AD" w:rsidR="0008031E" w:rsidRDefault="0008031E" w:rsidP="0008031E">
      <w:pPr>
        <w:jc w:val="center"/>
      </w:pPr>
      <w:r>
        <w:rPr>
          <w:b/>
        </w:rPr>
        <w:t>December 2019</w:t>
      </w:r>
    </w:p>
    <w:p w14:paraId="59679EA7" w14:textId="773E6094" w:rsidR="0008031E" w:rsidRDefault="0008031E" w:rsidP="0008031E">
      <w:pPr>
        <w:jc w:val="center"/>
      </w:pPr>
    </w:p>
    <w:p w14:paraId="7B597101" w14:textId="6B8849FF" w:rsidR="0008031E" w:rsidRPr="0008031E" w:rsidRDefault="0008031E" w:rsidP="0008031E">
      <w:pPr>
        <w:pStyle w:val="ListParagraph"/>
        <w:numPr>
          <w:ilvl w:val="0"/>
          <w:numId w:val="1"/>
        </w:numPr>
        <w:jc w:val="both"/>
        <w:rPr>
          <w:b/>
        </w:rPr>
      </w:pPr>
      <w:r w:rsidRPr="0008031E">
        <w:rPr>
          <w:b/>
        </w:rPr>
        <w:t xml:space="preserve">Basic Information </w:t>
      </w:r>
    </w:p>
    <w:p w14:paraId="66A34947" w14:textId="20E5D691" w:rsidR="0008031E" w:rsidRPr="0008031E" w:rsidRDefault="0008031E" w:rsidP="0008031E">
      <w:pPr>
        <w:rPr>
          <w:rFonts w:ascii="Calibri" w:eastAsia="Times New Roman" w:hAnsi="Calibri"/>
          <w:sz w:val="22"/>
          <w:szCs w:val="22"/>
        </w:rPr>
      </w:pPr>
      <w:r>
        <w:rPr>
          <w:rFonts w:eastAsia="Times New Roman"/>
          <w:sz w:val="22"/>
          <w:szCs w:val="22"/>
        </w:rPr>
        <w:t xml:space="preserve">     </w:t>
      </w:r>
      <w:r w:rsidRPr="0008031E">
        <w:rPr>
          <w:rFonts w:ascii="Calibri" w:eastAsia="Times New Roman" w:hAnsi="Calibri"/>
          <w:sz w:val="22"/>
          <w:szCs w:val="22"/>
        </w:rPr>
        <w:t>Project ID</w:t>
      </w:r>
      <w:r w:rsidRPr="0008031E">
        <w:rPr>
          <w:rFonts w:ascii="Calibri" w:eastAsia="Times New Roman" w:hAnsi="Calibri"/>
          <w:sz w:val="22"/>
          <w:szCs w:val="22"/>
        </w:rPr>
        <w:t xml:space="preserve">: </w:t>
      </w:r>
      <w:r w:rsidRPr="0008031E">
        <w:rPr>
          <w:rFonts w:ascii="Calibri" w:eastAsia="Times New Roman" w:hAnsi="Calibri"/>
          <w:sz w:val="22"/>
          <w:szCs w:val="22"/>
        </w:rPr>
        <w:t>00087832</w:t>
      </w:r>
    </w:p>
    <w:p w14:paraId="213F2686" w14:textId="6271A020" w:rsidR="0008031E" w:rsidRPr="0008031E" w:rsidRDefault="0008031E" w:rsidP="0008031E">
      <w:pPr>
        <w:pStyle w:val="ListParagraph"/>
        <w:ind w:left="270"/>
        <w:rPr>
          <w:rFonts w:ascii="Calibri" w:eastAsia="Times New Roman" w:hAnsi="Calibri"/>
          <w:sz w:val="22"/>
          <w:szCs w:val="22"/>
        </w:rPr>
      </w:pPr>
      <w:r w:rsidRPr="0008031E">
        <w:rPr>
          <w:rFonts w:ascii="Calibri" w:eastAsia="Times New Roman" w:hAnsi="Calibri"/>
          <w:sz w:val="22"/>
          <w:szCs w:val="22"/>
        </w:rPr>
        <w:t xml:space="preserve">Period: From </w:t>
      </w:r>
      <w:r w:rsidRPr="0008031E">
        <w:rPr>
          <w:rFonts w:ascii="Calibri" w:eastAsia="Times New Roman" w:hAnsi="Calibri"/>
          <w:sz w:val="22"/>
          <w:szCs w:val="22"/>
        </w:rPr>
        <w:t>January/</w:t>
      </w:r>
      <w:r w:rsidRPr="0008031E">
        <w:rPr>
          <w:rFonts w:ascii="Calibri" w:eastAsia="Times New Roman" w:hAnsi="Calibri"/>
          <w:sz w:val="22"/>
          <w:szCs w:val="22"/>
        </w:rPr>
        <w:t>02/201</w:t>
      </w:r>
      <w:r w:rsidRPr="0008031E">
        <w:rPr>
          <w:rFonts w:ascii="Calibri" w:eastAsia="Times New Roman" w:hAnsi="Calibri"/>
          <w:sz w:val="22"/>
          <w:szCs w:val="22"/>
        </w:rPr>
        <w:t>4</w:t>
      </w:r>
      <w:r w:rsidRPr="0008031E">
        <w:rPr>
          <w:rFonts w:ascii="Calibri" w:eastAsia="Times New Roman" w:hAnsi="Calibri"/>
          <w:sz w:val="22"/>
          <w:szCs w:val="22"/>
        </w:rPr>
        <w:t xml:space="preserve"> to December/31/201</w:t>
      </w:r>
      <w:r>
        <w:rPr>
          <w:rFonts w:ascii="Calibri" w:eastAsia="Times New Roman" w:hAnsi="Calibri"/>
          <w:sz w:val="22"/>
          <w:szCs w:val="22"/>
        </w:rPr>
        <w:t>9</w:t>
      </w:r>
    </w:p>
    <w:p w14:paraId="0EB5B494" w14:textId="77777777" w:rsidR="0008031E" w:rsidRPr="0008031E" w:rsidRDefault="0008031E" w:rsidP="0008031E">
      <w:pPr>
        <w:pStyle w:val="ListParagraph"/>
        <w:ind w:left="270"/>
        <w:rPr>
          <w:rFonts w:ascii="Calibri" w:eastAsia="Times New Roman" w:hAnsi="Calibri"/>
          <w:sz w:val="22"/>
          <w:szCs w:val="22"/>
        </w:rPr>
      </w:pPr>
      <w:r w:rsidRPr="0008031E">
        <w:rPr>
          <w:rFonts w:ascii="Calibri" w:eastAsia="Times New Roman" w:hAnsi="Calibri"/>
          <w:sz w:val="22"/>
          <w:szCs w:val="22"/>
        </w:rPr>
        <w:t>MIE: UNDP</w:t>
      </w:r>
    </w:p>
    <w:p w14:paraId="25C6E9E4" w14:textId="08B08795" w:rsidR="0008031E" w:rsidRPr="0008031E" w:rsidRDefault="0008031E" w:rsidP="0008031E">
      <w:pPr>
        <w:pStyle w:val="ListParagraph"/>
        <w:ind w:left="270"/>
        <w:rPr>
          <w:rFonts w:ascii="Calibri" w:hAnsi="Calibri" w:cs="Arial"/>
          <w:sz w:val="22"/>
          <w:szCs w:val="22"/>
          <w:lang w:val="en-GB"/>
        </w:rPr>
      </w:pPr>
      <w:r w:rsidRPr="0008031E">
        <w:rPr>
          <w:rFonts w:ascii="Calibri" w:hAnsi="Calibri" w:cs="Arial"/>
          <w:spacing w:val="2"/>
          <w:sz w:val="22"/>
          <w:szCs w:val="22"/>
          <w:lang w:val="en-GB"/>
        </w:rPr>
        <w:t>T</w:t>
      </w:r>
      <w:r w:rsidRPr="0008031E">
        <w:rPr>
          <w:rFonts w:ascii="Calibri" w:hAnsi="Calibri" w:cs="Arial"/>
          <w:spacing w:val="1"/>
          <w:sz w:val="22"/>
          <w:szCs w:val="22"/>
          <w:lang w:val="en-GB"/>
        </w:rPr>
        <w:t>o</w:t>
      </w:r>
      <w:r w:rsidRPr="0008031E">
        <w:rPr>
          <w:rFonts w:ascii="Calibri" w:hAnsi="Calibri" w:cs="Arial"/>
          <w:spacing w:val="-2"/>
          <w:sz w:val="22"/>
          <w:szCs w:val="22"/>
          <w:lang w:val="en-GB"/>
        </w:rPr>
        <w:t>t</w:t>
      </w:r>
      <w:r w:rsidRPr="0008031E">
        <w:rPr>
          <w:rFonts w:ascii="Calibri" w:hAnsi="Calibri" w:cs="Arial"/>
          <w:spacing w:val="1"/>
          <w:sz w:val="22"/>
          <w:szCs w:val="22"/>
          <w:lang w:val="en-GB"/>
        </w:rPr>
        <w:t>a</w:t>
      </w:r>
      <w:r w:rsidRPr="0008031E">
        <w:rPr>
          <w:rFonts w:ascii="Calibri" w:hAnsi="Calibri" w:cs="Arial"/>
          <w:sz w:val="22"/>
          <w:szCs w:val="22"/>
          <w:lang w:val="en-GB"/>
        </w:rPr>
        <w:t>l Pr</w:t>
      </w:r>
      <w:r w:rsidRPr="0008031E">
        <w:rPr>
          <w:rFonts w:ascii="Calibri" w:hAnsi="Calibri" w:cs="Arial"/>
          <w:spacing w:val="1"/>
          <w:sz w:val="22"/>
          <w:szCs w:val="22"/>
          <w:lang w:val="en-GB"/>
        </w:rPr>
        <w:t>o</w:t>
      </w:r>
      <w:r w:rsidRPr="0008031E">
        <w:rPr>
          <w:rFonts w:ascii="Calibri" w:hAnsi="Calibri" w:cs="Arial"/>
          <w:sz w:val="22"/>
          <w:szCs w:val="22"/>
          <w:lang w:val="en-GB"/>
        </w:rPr>
        <w:t>ject</w:t>
      </w:r>
      <w:r w:rsidRPr="0008031E">
        <w:rPr>
          <w:rFonts w:ascii="Calibri" w:hAnsi="Calibri" w:cs="Arial"/>
          <w:spacing w:val="3"/>
          <w:sz w:val="22"/>
          <w:szCs w:val="22"/>
          <w:lang w:val="en-GB"/>
        </w:rPr>
        <w:t xml:space="preserve"> </w:t>
      </w:r>
      <w:r w:rsidRPr="0008031E">
        <w:rPr>
          <w:rFonts w:ascii="Calibri" w:hAnsi="Calibri" w:cs="Arial"/>
          <w:sz w:val="22"/>
          <w:szCs w:val="22"/>
          <w:lang w:val="en-GB"/>
        </w:rPr>
        <w:t xml:space="preserve">Cost: </w:t>
      </w:r>
      <w:r w:rsidRPr="0008031E">
        <w:rPr>
          <w:rFonts w:ascii="Calibri" w:hAnsi="Calibri" w:cs="Arial"/>
          <w:sz w:val="22"/>
          <w:szCs w:val="22"/>
          <w:lang w:val="en-GB"/>
        </w:rPr>
        <w:t>3,760,000.00</w:t>
      </w:r>
    </w:p>
    <w:p w14:paraId="5B079CC7" w14:textId="6D246518" w:rsidR="0008031E" w:rsidRPr="0008031E" w:rsidRDefault="0008031E" w:rsidP="0008031E">
      <w:pPr>
        <w:pStyle w:val="ListParagraph"/>
        <w:ind w:left="270"/>
        <w:rPr>
          <w:rFonts w:ascii="Calibri" w:hAnsi="Calibri" w:cs="Arial"/>
          <w:sz w:val="22"/>
          <w:szCs w:val="22"/>
        </w:rPr>
      </w:pPr>
      <w:r w:rsidRPr="0008031E">
        <w:rPr>
          <w:rFonts w:ascii="Calibri" w:hAnsi="Calibri" w:cs="Arial"/>
          <w:sz w:val="22"/>
          <w:szCs w:val="22"/>
          <w:lang w:val="en-GB"/>
        </w:rPr>
        <w:t>Proje</w:t>
      </w:r>
      <w:r w:rsidRPr="0008031E">
        <w:rPr>
          <w:rFonts w:ascii="Calibri" w:hAnsi="Calibri" w:cs="Arial"/>
          <w:spacing w:val="-2"/>
          <w:sz w:val="22"/>
          <w:szCs w:val="22"/>
          <w:lang w:val="en-GB"/>
        </w:rPr>
        <w:t>c</w:t>
      </w:r>
      <w:r w:rsidRPr="0008031E">
        <w:rPr>
          <w:rFonts w:ascii="Calibri" w:hAnsi="Calibri" w:cs="Arial"/>
          <w:sz w:val="22"/>
          <w:szCs w:val="22"/>
          <w:lang w:val="en-GB"/>
        </w:rPr>
        <w:t>t</w:t>
      </w:r>
      <w:r w:rsidRPr="0008031E">
        <w:rPr>
          <w:rFonts w:ascii="Calibri" w:hAnsi="Calibri" w:cs="Arial"/>
          <w:spacing w:val="1"/>
          <w:sz w:val="22"/>
          <w:szCs w:val="22"/>
          <w:lang w:val="en-GB"/>
        </w:rPr>
        <w:t xml:space="preserve"> </w:t>
      </w:r>
      <w:r w:rsidRPr="0008031E">
        <w:rPr>
          <w:rFonts w:ascii="Calibri" w:hAnsi="Calibri" w:cs="Arial"/>
          <w:sz w:val="22"/>
          <w:szCs w:val="22"/>
          <w:lang w:val="en-GB"/>
        </w:rPr>
        <w:t>C</w:t>
      </w:r>
      <w:r w:rsidRPr="0008031E">
        <w:rPr>
          <w:rFonts w:ascii="Calibri" w:hAnsi="Calibri" w:cs="Arial"/>
          <w:spacing w:val="-3"/>
          <w:sz w:val="22"/>
          <w:szCs w:val="22"/>
          <w:lang w:val="en-GB"/>
        </w:rPr>
        <w:t>y</w:t>
      </w:r>
      <w:r w:rsidRPr="0008031E">
        <w:rPr>
          <w:rFonts w:ascii="Calibri" w:hAnsi="Calibri" w:cs="Arial"/>
          <w:sz w:val="22"/>
          <w:szCs w:val="22"/>
          <w:lang w:val="en-GB"/>
        </w:rPr>
        <w:t>cle</w:t>
      </w:r>
      <w:r w:rsidRPr="0008031E">
        <w:rPr>
          <w:rFonts w:ascii="Calibri" w:hAnsi="Calibri" w:cs="Arial"/>
          <w:spacing w:val="1"/>
          <w:sz w:val="22"/>
          <w:szCs w:val="22"/>
          <w:lang w:val="en-GB"/>
        </w:rPr>
        <w:t xml:space="preserve"> </w:t>
      </w:r>
      <w:r w:rsidRPr="0008031E">
        <w:rPr>
          <w:rFonts w:ascii="Calibri" w:hAnsi="Calibri" w:cs="Arial"/>
          <w:spacing w:val="-1"/>
          <w:sz w:val="22"/>
          <w:szCs w:val="22"/>
          <w:lang w:val="en-GB"/>
        </w:rPr>
        <w:t>M</w:t>
      </w:r>
      <w:r w:rsidRPr="0008031E">
        <w:rPr>
          <w:rFonts w:ascii="Calibri" w:hAnsi="Calibri" w:cs="Arial"/>
          <w:spacing w:val="1"/>
          <w:sz w:val="22"/>
          <w:szCs w:val="22"/>
          <w:lang w:val="en-GB"/>
        </w:rPr>
        <w:t>an</w:t>
      </w:r>
      <w:r w:rsidRPr="0008031E">
        <w:rPr>
          <w:rFonts w:ascii="Calibri" w:hAnsi="Calibri" w:cs="Arial"/>
          <w:spacing w:val="-2"/>
          <w:sz w:val="22"/>
          <w:szCs w:val="22"/>
          <w:lang w:val="en-GB"/>
        </w:rPr>
        <w:t>ag</w:t>
      </w:r>
      <w:r w:rsidRPr="0008031E">
        <w:rPr>
          <w:rFonts w:ascii="Calibri" w:hAnsi="Calibri" w:cs="Arial"/>
          <w:spacing w:val="1"/>
          <w:sz w:val="22"/>
          <w:szCs w:val="22"/>
          <w:lang w:val="en-GB"/>
        </w:rPr>
        <w:t>emen</w:t>
      </w:r>
      <w:r w:rsidRPr="0008031E">
        <w:rPr>
          <w:rFonts w:ascii="Calibri" w:hAnsi="Calibri" w:cs="Arial"/>
          <w:sz w:val="22"/>
          <w:szCs w:val="22"/>
          <w:lang w:val="en-GB"/>
        </w:rPr>
        <w:t>t</w:t>
      </w:r>
      <w:r w:rsidRPr="0008031E">
        <w:rPr>
          <w:rFonts w:ascii="Calibri" w:hAnsi="Calibri" w:cs="Arial"/>
          <w:spacing w:val="-2"/>
          <w:sz w:val="22"/>
          <w:szCs w:val="22"/>
          <w:lang w:val="en-GB"/>
        </w:rPr>
        <w:t xml:space="preserve"> </w:t>
      </w:r>
      <w:r w:rsidRPr="0008031E">
        <w:rPr>
          <w:rFonts w:ascii="Calibri" w:hAnsi="Calibri" w:cs="Arial"/>
          <w:sz w:val="22"/>
          <w:szCs w:val="22"/>
          <w:lang w:val="en-GB"/>
        </w:rPr>
        <w:t>F</w:t>
      </w:r>
      <w:r w:rsidRPr="0008031E">
        <w:rPr>
          <w:rFonts w:ascii="Calibri" w:hAnsi="Calibri" w:cs="Arial"/>
          <w:spacing w:val="1"/>
          <w:sz w:val="22"/>
          <w:szCs w:val="22"/>
          <w:lang w:val="en-GB"/>
        </w:rPr>
        <w:t>e</w:t>
      </w:r>
      <w:r w:rsidRPr="0008031E">
        <w:rPr>
          <w:rFonts w:ascii="Calibri" w:hAnsi="Calibri" w:cs="Arial"/>
          <w:sz w:val="22"/>
          <w:szCs w:val="22"/>
          <w:lang w:val="en-GB"/>
        </w:rPr>
        <w:t>e</w:t>
      </w:r>
      <w:r w:rsidRPr="0008031E">
        <w:rPr>
          <w:rFonts w:ascii="Calibri" w:hAnsi="Calibri" w:cs="Arial"/>
          <w:spacing w:val="-1"/>
          <w:sz w:val="22"/>
          <w:szCs w:val="22"/>
          <w:lang w:val="en-GB"/>
        </w:rPr>
        <w:t xml:space="preserve"> </w:t>
      </w:r>
      <w:r w:rsidRPr="0008031E">
        <w:rPr>
          <w:rFonts w:ascii="Calibri" w:hAnsi="Calibri" w:cs="Arial"/>
          <w:sz w:val="22"/>
          <w:szCs w:val="22"/>
          <w:lang w:val="en-GB"/>
        </w:rPr>
        <w:t>C</w:t>
      </w:r>
      <w:r w:rsidRPr="0008031E">
        <w:rPr>
          <w:rFonts w:ascii="Calibri" w:hAnsi="Calibri" w:cs="Arial"/>
          <w:spacing w:val="1"/>
          <w:sz w:val="22"/>
          <w:szCs w:val="22"/>
          <w:lang w:val="en-GB"/>
        </w:rPr>
        <w:t>ha</w:t>
      </w:r>
      <w:r w:rsidRPr="0008031E">
        <w:rPr>
          <w:rFonts w:ascii="Calibri" w:hAnsi="Calibri" w:cs="Arial"/>
          <w:sz w:val="22"/>
          <w:szCs w:val="22"/>
          <w:lang w:val="en-GB"/>
        </w:rPr>
        <w:t>r</w:t>
      </w:r>
      <w:r w:rsidRPr="0008031E">
        <w:rPr>
          <w:rFonts w:ascii="Calibri" w:hAnsi="Calibri" w:cs="Arial"/>
          <w:spacing w:val="-2"/>
          <w:sz w:val="22"/>
          <w:szCs w:val="22"/>
          <w:lang w:val="en-GB"/>
        </w:rPr>
        <w:t>g</w:t>
      </w:r>
      <w:r w:rsidRPr="0008031E">
        <w:rPr>
          <w:rFonts w:ascii="Calibri" w:hAnsi="Calibri" w:cs="Arial"/>
          <w:spacing w:val="1"/>
          <w:sz w:val="22"/>
          <w:szCs w:val="22"/>
          <w:lang w:val="en-GB"/>
        </w:rPr>
        <w:t>e</w:t>
      </w:r>
      <w:r w:rsidRPr="0008031E">
        <w:rPr>
          <w:rFonts w:ascii="Calibri" w:hAnsi="Calibri" w:cs="Arial"/>
          <w:sz w:val="22"/>
          <w:szCs w:val="22"/>
          <w:lang w:val="en-GB"/>
        </w:rPr>
        <w:t>d</w:t>
      </w:r>
      <w:r w:rsidRPr="0008031E">
        <w:rPr>
          <w:rFonts w:ascii="Calibri" w:hAnsi="Calibri" w:cs="Arial"/>
          <w:spacing w:val="-1"/>
          <w:sz w:val="22"/>
          <w:szCs w:val="22"/>
          <w:lang w:val="en-GB"/>
        </w:rPr>
        <w:t xml:space="preserve"> </w:t>
      </w:r>
      <w:r w:rsidRPr="0008031E">
        <w:rPr>
          <w:rFonts w:ascii="Calibri" w:hAnsi="Calibri" w:cs="Arial"/>
          <w:spacing w:val="-2"/>
          <w:sz w:val="22"/>
          <w:szCs w:val="22"/>
          <w:lang w:val="en-GB"/>
        </w:rPr>
        <w:t>b</w:t>
      </w:r>
      <w:r w:rsidRPr="0008031E">
        <w:rPr>
          <w:rFonts w:ascii="Calibri" w:hAnsi="Calibri" w:cs="Arial"/>
          <w:sz w:val="22"/>
          <w:szCs w:val="22"/>
          <w:lang w:val="en-GB"/>
        </w:rPr>
        <w:t>y</w:t>
      </w:r>
      <w:r w:rsidRPr="0008031E">
        <w:rPr>
          <w:rFonts w:ascii="Calibri" w:hAnsi="Calibri" w:cs="Arial"/>
          <w:spacing w:val="-2"/>
          <w:sz w:val="22"/>
          <w:szCs w:val="22"/>
          <w:lang w:val="en-GB"/>
        </w:rPr>
        <w:t xml:space="preserve"> </w:t>
      </w:r>
      <w:r w:rsidRPr="0008031E">
        <w:rPr>
          <w:rFonts w:ascii="Calibri" w:hAnsi="Calibri" w:cs="Arial"/>
          <w:spacing w:val="1"/>
          <w:sz w:val="22"/>
          <w:szCs w:val="22"/>
          <w:lang w:val="en-GB"/>
        </w:rPr>
        <w:t>th</w:t>
      </w:r>
      <w:r w:rsidRPr="0008031E">
        <w:rPr>
          <w:rFonts w:ascii="Calibri" w:hAnsi="Calibri" w:cs="Arial"/>
          <w:sz w:val="22"/>
          <w:szCs w:val="22"/>
          <w:lang w:val="en-GB"/>
        </w:rPr>
        <w:t>e</w:t>
      </w:r>
      <w:r w:rsidRPr="0008031E">
        <w:rPr>
          <w:rFonts w:ascii="Calibri" w:hAnsi="Calibri" w:cs="Arial"/>
          <w:spacing w:val="1"/>
          <w:sz w:val="22"/>
          <w:szCs w:val="22"/>
          <w:lang w:val="en-GB"/>
        </w:rPr>
        <w:t xml:space="preserve"> I</w:t>
      </w:r>
      <w:r w:rsidRPr="0008031E">
        <w:rPr>
          <w:rFonts w:ascii="Calibri" w:hAnsi="Calibri" w:cs="Arial"/>
          <w:spacing w:val="-1"/>
          <w:sz w:val="22"/>
          <w:szCs w:val="22"/>
          <w:lang w:val="en-GB"/>
        </w:rPr>
        <w:t>m</w:t>
      </w:r>
      <w:r w:rsidRPr="0008031E">
        <w:rPr>
          <w:rFonts w:ascii="Calibri" w:hAnsi="Calibri" w:cs="Arial"/>
          <w:spacing w:val="1"/>
          <w:sz w:val="22"/>
          <w:szCs w:val="22"/>
          <w:lang w:val="en-GB"/>
        </w:rPr>
        <w:t>p</w:t>
      </w:r>
      <w:r w:rsidRPr="0008031E">
        <w:rPr>
          <w:rFonts w:ascii="Calibri" w:hAnsi="Calibri" w:cs="Arial"/>
          <w:sz w:val="22"/>
          <w:szCs w:val="22"/>
          <w:lang w:val="en-GB"/>
        </w:rPr>
        <w:t>l</w:t>
      </w:r>
      <w:r w:rsidRPr="0008031E">
        <w:rPr>
          <w:rFonts w:ascii="Calibri" w:hAnsi="Calibri" w:cs="Arial"/>
          <w:spacing w:val="-2"/>
          <w:sz w:val="22"/>
          <w:szCs w:val="22"/>
          <w:lang w:val="en-GB"/>
        </w:rPr>
        <w:t>e</w:t>
      </w:r>
      <w:r w:rsidRPr="0008031E">
        <w:rPr>
          <w:rFonts w:ascii="Calibri" w:hAnsi="Calibri" w:cs="Arial"/>
          <w:spacing w:val="1"/>
          <w:sz w:val="22"/>
          <w:szCs w:val="22"/>
          <w:lang w:val="en-GB"/>
        </w:rPr>
        <w:t>me</w:t>
      </w:r>
      <w:r w:rsidRPr="0008031E">
        <w:rPr>
          <w:rFonts w:ascii="Calibri" w:hAnsi="Calibri" w:cs="Arial"/>
          <w:spacing w:val="-2"/>
          <w:sz w:val="22"/>
          <w:szCs w:val="22"/>
          <w:lang w:val="en-GB"/>
        </w:rPr>
        <w:t>n</w:t>
      </w:r>
      <w:r w:rsidRPr="0008031E">
        <w:rPr>
          <w:rFonts w:ascii="Calibri" w:hAnsi="Calibri" w:cs="Arial"/>
          <w:sz w:val="22"/>
          <w:szCs w:val="22"/>
          <w:lang w:val="en-GB"/>
        </w:rPr>
        <w:t>ti</w:t>
      </w:r>
      <w:r w:rsidRPr="0008031E">
        <w:rPr>
          <w:rFonts w:ascii="Calibri" w:hAnsi="Calibri" w:cs="Arial"/>
          <w:spacing w:val="1"/>
          <w:sz w:val="22"/>
          <w:szCs w:val="22"/>
          <w:lang w:val="en-GB"/>
        </w:rPr>
        <w:t>n</w:t>
      </w:r>
      <w:r w:rsidRPr="0008031E">
        <w:rPr>
          <w:rFonts w:ascii="Calibri" w:hAnsi="Calibri" w:cs="Arial"/>
          <w:sz w:val="22"/>
          <w:szCs w:val="22"/>
          <w:lang w:val="en-GB"/>
        </w:rPr>
        <w:t>g</w:t>
      </w:r>
      <w:r w:rsidRPr="0008031E">
        <w:rPr>
          <w:rFonts w:ascii="Calibri" w:hAnsi="Calibri" w:cs="Arial"/>
          <w:spacing w:val="-1"/>
          <w:sz w:val="22"/>
          <w:szCs w:val="22"/>
          <w:lang w:val="en-GB"/>
        </w:rPr>
        <w:t xml:space="preserve"> </w:t>
      </w:r>
      <w:r w:rsidRPr="0008031E">
        <w:rPr>
          <w:rFonts w:ascii="Calibri" w:hAnsi="Calibri" w:cs="Arial"/>
          <w:spacing w:val="1"/>
          <w:sz w:val="22"/>
          <w:szCs w:val="22"/>
          <w:lang w:val="en-GB"/>
        </w:rPr>
        <w:t>En</w:t>
      </w:r>
      <w:r w:rsidRPr="0008031E">
        <w:rPr>
          <w:rFonts w:ascii="Calibri" w:hAnsi="Calibri" w:cs="Arial"/>
          <w:spacing w:val="-1"/>
          <w:sz w:val="22"/>
          <w:szCs w:val="22"/>
          <w:lang w:val="en-GB"/>
        </w:rPr>
        <w:t>t</w:t>
      </w:r>
      <w:r w:rsidRPr="0008031E">
        <w:rPr>
          <w:rFonts w:ascii="Calibri" w:hAnsi="Calibri" w:cs="Arial"/>
          <w:sz w:val="22"/>
          <w:szCs w:val="22"/>
          <w:lang w:val="en-GB"/>
        </w:rPr>
        <w:t xml:space="preserve">ity: </w:t>
      </w:r>
      <w:r w:rsidRPr="0008031E">
        <w:rPr>
          <w:rFonts w:ascii="Calibri" w:hAnsi="Calibri" w:cs="Arial"/>
          <w:sz w:val="22"/>
          <w:szCs w:val="22"/>
          <w:lang w:val="en-GB"/>
        </w:rPr>
        <w:t>376,000.00</w:t>
      </w:r>
    </w:p>
    <w:p w14:paraId="4E166D09" w14:textId="31158040" w:rsidR="0008031E" w:rsidRPr="0008031E" w:rsidRDefault="0008031E" w:rsidP="0008031E">
      <w:pPr>
        <w:pStyle w:val="ListParagraph"/>
        <w:ind w:left="270"/>
        <w:rPr>
          <w:rFonts w:ascii="Calibri" w:eastAsia="Times New Roman" w:hAnsi="Calibri"/>
          <w:sz w:val="22"/>
          <w:szCs w:val="22"/>
        </w:rPr>
      </w:pPr>
      <w:r w:rsidRPr="0008031E">
        <w:rPr>
          <w:rFonts w:ascii="Calibri" w:hAnsi="Calibri" w:cs="Arial"/>
          <w:sz w:val="22"/>
          <w:szCs w:val="22"/>
          <w:lang w:val="en-GB"/>
        </w:rPr>
        <w:t xml:space="preserve">Amount of Financing Requested: </w:t>
      </w:r>
      <w:r w:rsidRPr="0008031E">
        <w:rPr>
          <w:rFonts w:ascii="Calibri" w:hAnsi="Calibri" w:cs="Arial"/>
          <w:sz w:val="22"/>
          <w:szCs w:val="22"/>
          <w:lang w:val="en-GB"/>
        </w:rPr>
        <w:t>4,136,000.00</w:t>
      </w:r>
    </w:p>
    <w:p w14:paraId="3AF1BB18" w14:textId="3B721682" w:rsidR="0008031E" w:rsidRDefault="0008031E" w:rsidP="0008031E"/>
    <w:p w14:paraId="44706531" w14:textId="3F698255" w:rsidR="0008031E" w:rsidRPr="0008031E" w:rsidRDefault="0008031E" w:rsidP="0008031E">
      <w:pPr>
        <w:pStyle w:val="ListParagraph"/>
        <w:numPr>
          <w:ilvl w:val="0"/>
          <w:numId w:val="1"/>
        </w:numPr>
        <w:rPr>
          <w:b/>
        </w:rPr>
      </w:pPr>
      <w:r w:rsidRPr="0008031E">
        <w:rPr>
          <w:b/>
        </w:rPr>
        <w:t>Key Milestones</w:t>
      </w:r>
    </w:p>
    <w:tbl>
      <w:tblPr>
        <w:tblW w:w="7197" w:type="dxa"/>
        <w:tblInd w:w="-10" w:type="dxa"/>
        <w:tblLook w:val="04A0" w:firstRow="1" w:lastRow="0" w:firstColumn="1" w:lastColumn="0" w:noHBand="0" w:noVBand="1"/>
      </w:tblPr>
      <w:tblGrid>
        <w:gridCol w:w="2480"/>
        <w:gridCol w:w="1337"/>
        <w:gridCol w:w="3380"/>
      </w:tblGrid>
      <w:tr w:rsidR="0008031E" w:rsidRPr="00103AEB" w14:paraId="2A20AC92" w14:textId="77777777" w:rsidTr="0008031E">
        <w:trPr>
          <w:trHeight w:hRule="exact" w:val="276"/>
        </w:trPr>
        <w:tc>
          <w:tcPr>
            <w:tcW w:w="3817" w:type="dxa"/>
            <w:gridSpan w:val="2"/>
            <w:tcBorders>
              <w:top w:val="nil"/>
              <w:left w:val="single" w:sz="8" w:space="0" w:color="000000"/>
              <w:bottom w:val="nil"/>
              <w:right w:val="single" w:sz="8" w:space="0" w:color="000000"/>
            </w:tcBorders>
            <w:shd w:val="clear" w:color="D6E3BC" w:fill="D6E3BC"/>
            <w:vAlign w:val="bottom"/>
            <w:hideMark/>
          </w:tcPr>
          <w:p w14:paraId="51C73559" w14:textId="75B795BA" w:rsidR="0008031E" w:rsidRPr="00231C02" w:rsidRDefault="0008031E" w:rsidP="005640B4">
            <w:pPr>
              <w:jc w:val="right"/>
              <w:rPr>
                <w:rFonts w:ascii="Calibri" w:eastAsia="Times New Roman" w:hAnsi="Calibri" w:cs="Times New Roman"/>
                <w:b/>
                <w:bCs/>
                <w:color w:val="000000"/>
                <w:sz w:val="22"/>
              </w:rPr>
            </w:pPr>
            <w:r w:rsidRPr="00231C02">
              <w:rPr>
                <w:rFonts w:ascii="Calibri" w:eastAsia="Times New Roman" w:hAnsi="Calibri" w:cs="Times New Roman"/>
                <w:b/>
                <w:bCs/>
                <w:color w:val="000000"/>
                <w:spacing w:val="2"/>
                <w:sz w:val="22"/>
                <w:lang w:val="en-GB"/>
              </w:rPr>
              <w:t>Project Document Signature</w:t>
            </w:r>
            <w:r w:rsidRPr="00231C02">
              <w:rPr>
                <w:rFonts w:ascii="Calibri" w:eastAsia="Times New Roman" w:hAnsi="Calibri" w:cs="Times New Roman"/>
                <w:b/>
                <w:bCs/>
                <w:color w:val="000000"/>
                <w:spacing w:val="2"/>
                <w:sz w:val="22"/>
                <w:lang w:val="en-GB"/>
              </w:rPr>
              <w:t>:</w:t>
            </w:r>
          </w:p>
        </w:tc>
        <w:tc>
          <w:tcPr>
            <w:tcW w:w="3380" w:type="dxa"/>
            <w:tcBorders>
              <w:top w:val="single" w:sz="8" w:space="0" w:color="auto"/>
              <w:left w:val="nil"/>
              <w:bottom w:val="single" w:sz="4" w:space="0" w:color="auto"/>
              <w:right w:val="single" w:sz="4" w:space="0" w:color="auto"/>
            </w:tcBorders>
            <w:shd w:val="clear" w:color="auto" w:fill="auto"/>
            <w:noWrap/>
            <w:vAlign w:val="bottom"/>
            <w:hideMark/>
          </w:tcPr>
          <w:p w14:paraId="62567704" w14:textId="5478E341" w:rsidR="0008031E" w:rsidRPr="00231C02" w:rsidRDefault="0008031E" w:rsidP="005640B4">
            <w:pPr>
              <w:rPr>
                <w:rFonts w:ascii="Calibri" w:eastAsia="Times New Roman" w:hAnsi="Calibri" w:cs="Times New Roman"/>
                <w:sz w:val="22"/>
              </w:rPr>
            </w:pPr>
            <w:r w:rsidRPr="00231C02">
              <w:rPr>
                <w:rFonts w:ascii="Calibri" w:eastAsia="Times New Roman" w:hAnsi="Calibri" w:cs="Times New Roman"/>
                <w:sz w:val="22"/>
              </w:rPr>
              <w:t>January</w:t>
            </w:r>
            <w:r w:rsidRPr="00231C02">
              <w:rPr>
                <w:rFonts w:ascii="Calibri" w:eastAsia="Times New Roman" w:hAnsi="Calibri" w:cs="Times New Roman"/>
                <w:sz w:val="22"/>
              </w:rPr>
              <w:t>/</w:t>
            </w:r>
            <w:r w:rsidRPr="00231C02">
              <w:rPr>
                <w:rFonts w:ascii="Calibri" w:eastAsia="Times New Roman" w:hAnsi="Calibri" w:cs="Times New Roman"/>
                <w:sz w:val="22"/>
              </w:rPr>
              <w:t>02</w:t>
            </w:r>
            <w:r w:rsidRPr="00231C02">
              <w:rPr>
                <w:rFonts w:ascii="Calibri" w:eastAsia="Times New Roman" w:hAnsi="Calibri" w:cs="Times New Roman"/>
                <w:sz w:val="22"/>
              </w:rPr>
              <w:t>/201</w:t>
            </w:r>
            <w:r w:rsidRPr="00231C02">
              <w:rPr>
                <w:rFonts w:ascii="Calibri" w:eastAsia="Times New Roman" w:hAnsi="Calibri" w:cs="Times New Roman"/>
                <w:sz w:val="22"/>
              </w:rPr>
              <w:t>4</w:t>
            </w:r>
          </w:p>
        </w:tc>
      </w:tr>
      <w:tr w:rsidR="0008031E" w:rsidRPr="00103AEB" w14:paraId="18BABA05" w14:textId="77777777" w:rsidTr="0008031E">
        <w:trPr>
          <w:trHeight w:hRule="exact" w:val="495"/>
        </w:trPr>
        <w:tc>
          <w:tcPr>
            <w:tcW w:w="3817" w:type="dxa"/>
            <w:gridSpan w:val="2"/>
            <w:tcBorders>
              <w:top w:val="nil"/>
              <w:left w:val="single" w:sz="8" w:space="0" w:color="000000"/>
              <w:bottom w:val="nil"/>
              <w:right w:val="single" w:sz="8" w:space="0" w:color="000000"/>
            </w:tcBorders>
            <w:shd w:val="clear" w:color="D6E3BC" w:fill="D6E3BC"/>
            <w:vAlign w:val="bottom"/>
            <w:hideMark/>
          </w:tcPr>
          <w:p w14:paraId="098F6D72" w14:textId="4FB8AC45" w:rsidR="0008031E" w:rsidRPr="00231C02" w:rsidRDefault="0008031E" w:rsidP="005640B4">
            <w:pPr>
              <w:jc w:val="right"/>
              <w:rPr>
                <w:rFonts w:ascii="Calibri" w:eastAsia="Times New Roman" w:hAnsi="Calibri" w:cs="Times New Roman"/>
                <w:b/>
                <w:bCs/>
                <w:color w:val="000000"/>
                <w:sz w:val="22"/>
              </w:rPr>
            </w:pPr>
            <w:r w:rsidRPr="00231C02">
              <w:rPr>
                <w:rFonts w:ascii="Calibri" w:eastAsia="Times New Roman" w:hAnsi="Calibri" w:cs="Times New Roman"/>
                <w:b/>
                <w:bCs/>
                <w:color w:val="000000"/>
                <w:spacing w:val="-5"/>
                <w:sz w:val="22"/>
                <w:lang w:val="en-GB"/>
              </w:rPr>
              <w:t>Date of first Disbursement</w:t>
            </w:r>
            <w:r w:rsidRPr="00231C02">
              <w:rPr>
                <w:rFonts w:ascii="Calibri" w:eastAsia="Times New Roman" w:hAnsi="Calibri" w:cs="Times New Roman"/>
                <w:b/>
                <w:bCs/>
                <w:color w:val="000000"/>
                <w:spacing w:val="-5"/>
                <w:sz w:val="22"/>
                <w:lang w:val="en-GB"/>
              </w:rPr>
              <w:t>:</w:t>
            </w:r>
          </w:p>
        </w:tc>
        <w:tc>
          <w:tcPr>
            <w:tcW w:w="3380" w:type="dxa"/>
            <w:tcBorders>
              <w:top w:val="nil"/>
              <w:left w:val="nil"/>
              <w:bottom w:val="single" w:sz="4" w:space="0" w:color="auto"/>
              <w:right w:val="single" w:sz="4" w:space="0" w:color="auto"/>
            </w:tcBorders>
            <w:shd w:val="clear" w:color="FFFFFF" w:fill="FFFFFF"/>
            <w:noWrap/>
            <w:vAlign w:val="center"/>
            <w:hideMark/>
          </w:tcPr>
          <w:p w14:paraId="5E666197" w14:textId="12C040F3" w:rsidR="0008031E" w:rsidRPr="00231C02" w:rsidRDefault="0008031E" w:rsidP="005640B4">
            <w:pPr>
              <w:rPr>
                <w:rFonts w:ascii="Calibri" w:eastAsia="Times New Roman" w:hAnsi="Calibri" w:cs="Times New Roman"/>
                <w:color w:val="000000"/>
                <w:sz w:val="22"/>
              </w:rPr>
            </w:pPr>
            <w:r w:rsidRPr="00231C02">
              <w:rPr>
                <w:rFonts w:ascii="Calibri" w:eastAsia="Times New Roman" w:hAnsi="Calibri" w:cs="Times New Roman"/>
                <w:color w:val="000000"/>
                <w:sz w:val="22"/>
              </w:rPr>
              <w:t>January</w:t>
            </w:r>
            <w:r w:rsidRPr="00231C02">
              <w:rPr>
                <w:rFonts w:ascii="Calibri" w:eastAsia="Times New Roman" w:hAnsi="Calibri" w:cs="Times New Roman"/>
                <w:color w:val="000000"/>
                <w:sz w:val="22"/>
              </w:rPr>
              <w:t>/</w:t>
            </w:r>
            <w:r w:rsidRPr="00231C02">
              <w:rPr>
                <w:rFonts w:ascii="Calibri" w:eastAsia="Times New Roman" w:hAnsi="Calibri" w:cs="Times New Roman"/>
                <w:color w:val="000000"/>
                <w:sz w:val="22"/>
              </w:rPr>
              <w:t>31</w:t>
            </w:r>
            <w:r w:rsidRPr="00231C02">
              <w:rPr>
                <w:rFonts w:ascii="Calibri" w:eastAsia="Times New Roman" w:hAnsi="Calibri" w:cs="Times New Roman"/>
                <w:color w:val="000000"/>
                <w:sz w:val="22"/>
              </w:rPr>
              <w:t>/201</w:t>
            </w:r>
            <w:r w:rsidRPr="00231C02">
              <w:rPr>
                <w:rFonts w:ascii="Calibri" w:eastAsia="Times New Roman" w:hAnsi="Calibri" w:cs="Times New Roman"/>
                <w:color w:val="000000"/>
                <w:sz w:val="22"/>
              </w:rPr>
              <w:t>4</w:t>
            </w:r>
          </w:p>
        </w:tc>
      </w:tr>
      <w:tr w:rsidR="0008031E" w:rsidRPr="00103AEB" w14:paraId="5749985D" w14:textId="77777777" w:rsidTr="0008031E">
        <w:trPr>
          <w:trHeight w:val="570"/>
        </w:trPr>
        <w:tc>
          <w:tcPr>
            <w:tcW w:w="3817" w:type="dxa"/>
            <w:gridSpan w:val="2"/>
            <w:tcBorders>
              <w:top w:val="nil"/>
              <w:left w:val="single" w:sz="8" w:space="0" w:color="000000"/>
              <w:bottom w:val="nil"/>
              <w:right w:val="nil"/>
            </w:tcBorders>
            <w:shd w:val="clear" w:color="D6E3BC" w:fill="D6E3BC"/>
            <w:vAlign w:val="bottom"/>
            <w:hideMark/>
          </w:tcPr>
          <w:p w14:paraId="4E7F1554" w14:textId="59C20A80" w:rsidR="0008031E" w:rsidRPr="00231C02" w:rsidRDefault="0008031E" w:rsidP="005640B4">
            <w:pPr>
              <w:jc w:val="right"/>
              <w:rPr>
                <w:rFonts w:ascii="Calibri" w:eastAsia="Times New Roman" w:hAnsi="Calibri" w:cs="Times New Roman"/>
                <w:b/>
                <w:bCs/>
                <w:color w:val="000000"/>
                <w:sz w:val="22"/>
              </w:rPr>
            </w:pPr>
            <w:r w:rsidRPr="00231C02">
              <w:rPr>
                <w:rFonts w:ascii="Calibri" w:eastAsia="Times New Roman" w:hAnsi="Calibri" w:cs="Times New Roman"/>
                <w:b/>
                <w:bCs/>
                <w:color w:val="000000"/>
                <w:sz w:val="22"/>
              </w:rPr>
              <w:t>Terminal Evaluation Date:</w:t>
            </w:r>
          </w:p>
        </w:tc>
        <w:tc>
          <w:tcPr>
            <w:tcW w:w="3380" w:type="dxa"/>
            <w:tcBorders>
              <w:top w:val="nil"/>
              <w:left w:val="single" w:sz="8" w:space="0" w:color="auto"/>
              <w:bottom w:val="single" w:sz="4" w:space="0" w:color="auto"/>
              <w:right w:val="single" w:sz="4" w:space="0" w:color="auto"/>
            </w:tcBorders>
            <w:shd w:val="clear" w:color="auto" w:fill="auto"/>
            <w:noWrap/>
            <w:vAlign w:val="center"/>
            <w:hideMark/>
          </w:tcPr>
          <w:p w14:paraId="7C62043D" w14:textId="4CC990CD" w:rsidR="0008031E" w:rsidRPr="00231C02" w:rsidRDefault="0008031E" w:rsidP="005640B4">
            <w:pPr>
              <w:rPr>
                <w:rFonts w:ascii="Calibri" w:eastAsia="Times New Roman" w:hAnsi="Calibri" w:cs="Times New Roman"/>
                <w:color w:val="000000"/>
                <w:sz w:val="22"/>
              </w:rPr>
            </w:pPr>
            <w:r w:rsidRPr="00231C02">
              <w:rPr>
                <w:rFonts w:ascii="Calibri" w:eastAsia="Times New Roman" w:hAnsi="Calibri" w:cs="Times New Roman"/>
                <w:color w:val="000000"/>
                <w:sz w:val="22"/>
              </w:rPr>
              <w:t>December</w:t>
            </w:r>
            <w:r w:rsidRPr="00231C02">
              <w:rPr>
                <w:rFonts w:ascii="Calibri" w:eastAsia="Times New Roman" w:hAnsi="Calibri" w:cs="Times New Roman"/>
                <w:color w:val="000000"/>
                <w:sz w:val="22"/>
              </w:rPr>
              <w:t>/201</w:t>
            </w:r>
            <w:r w:rsidRPr="00231C02">
              <w:rPr>
                <w:rFonts w:ascii="Calibri" w:eastAsia="Times New Roman" w:hAnsi="Calibri" w:cs="Times New Roman"/>
                <w:color w:val="000000"/>
                <w:sz w:val="22"/>
              </w:rPr>
              <w:t>9</w:t>
            </w:r>
          </w:p>
        </w:tc>
      </w:tr>
      <w:tr w:rsidR="0008031E" w:rsidRPr="00103AEB" w14:paraId="75236DD3" w14:textId="77777777" w:rsidTr="0008031E">
        <w:trPr>
          <w:trHeight w:val="450"/>
        </w:trPr>
        <w:tc>
          <w:tcPr>
            <w:tcW w:w="2480" w:type="dxa"/>
            <w:tcBorders>
              <w:top w:val="nil"/>
              <w:left w:val="single" w:sz="8" w:space="0" w:color="000000"/>
              <w:bottom w:val="nil"/>
              <w:right w:val="nil"/>
            </w:tcBorders>
            <w:shd w:val="clear" w:color="D6E3BC" w:fill="D6E3BC"/>
            <w:noWrap/>
            <w:vAlign w:val="bottom"/>
            <w:hideMark/>
          </w:tcPr>
          <w:p w14:paraId="3D66F988" w14:textId="77777777" w:rsidR="0008031E" w:rsidRPr="00231C02" w:rsidRDefault="0008031E" w:rsidP="005640B4">
            <w:pPr>
              <w:jc w:val="right"/>
              <w:rPr>
                <w:rFonts w:ascii="Calibri" w:eastAsia="Times New Roman" w:hAnsi="Calibri" w:cs="Times New Roman"/>
                <w:color w:val="000000"/>
                <w:sz w:val="22"/>
              </w:rPr>
            </w:pPr>
            <w:r w:rsidRPr="00231C02">
              <w:rPr>
                <w:rFonts w:ascii="Calibri" w:eastAsia="Times New Roman" w:hAnsi="Calibri" w:cs="Times New Roman"/>
                <w:color w:val="000000"/>
                <w:sz w:val="22"/>
              </w:rPr>
              <w:t> </w:t>
            </w:r>
          </w:p>
        </w:tc>
        <w:tc>
          <w:tcPr>
            <w:tcW w:w="1337" w:type="dxa"/>
            <w:tcBorders>
              <w:top w:val="nil"/>
              <w:left w:val="nil"/>
              <w:bottom w:val="nil"/>
              <w:right w:val="nil"/>
            </w:tcBorders>
            <w:shd w:val="clear" w:color="D6E3BC" w:fill="D6E3BC"/>
            <w:noWrap/>
            <w:vAlign w:val="bottom"/>
            <w:hideMark/>
          </w:tcPr>
          <w:p w14:paraId="327FB6C4" w14:textId="7DABF12D" w:rsidR="0008031E" w:rsidRPr="00231C02" w:rsidRDefault="0008031E" w:rsidP="005640B4">
            <w:pPr>
              <w:jc w:val="right"/>
              <w:rPr>
                <w:rFonts w:ascii="Calibri" w:eastAsia="Times New Roman" w:hAnsi="Calibri" w:cs="Times New Roman"/>
                <w:b/>
                <w:bCs/>
                <w:color w:val="000000"/>
                <w:sz w:val="22"/>
              </w:rPr>
            </w:pPr>
            <w:r w:rsidRPr="00231C02">
              <w:rPr>
                <w:rFonts w:ascii="Calibri" w:eastAsia="Times New Roman" w:hAnsi="Calibri" w:cs="Times New Roman"/>
                <w:b/>
                <w:bCs/>
                <w:color w:val="000000"/>
                <w:sz w:val="22"/>
              </w:rPr>
              <w:t>Project Operational Closure</w:t>
            </w:r>
            <w:r w:rsidRPr="00231C02">
              <w:rPr>
                <w:rFonts w:ascii="Calibri" w:eastAsia="Times New Roman" w:hAnsi="Calibri" w:cs="Times New Roman"/>
                <w:b/>
                <w:bCs/>
                <w:color w:val="000000"/>
                <w:sz w:val="22"/>
              </w:rPr>
              <w:t>:</w:t>
            </w:r>
          </w:p>
        </w:tc>
        <w:tc>
          <w:tcPr>
            <w:tcW w:w="3380" w:type="dxa"/>
            <w:tcBorders>
              <w:top w:val="nil"/>
              <w:left w:val="single" w:sz="8" w:space="0" w:color="auto"/>
              <w:bottom w:val="single" w:sz="8" w:space="0" w:color="auto"/>
              <w:right w:val="single" w:sz="4" w:space="0" w:color="auto"/>
            </w:tcBorders>
            <w:shd w:val="clear" w:color="auto" w:fill="auto"/>
            <w:noWrap/>
            <w:vAlign w:val="center"/>
            <w:hideMark/>
          </w:tcPr>
          <w:p w14:paraId="6893474E" w14:textId="1ED1C5C9" w:rsidR="0008031E" w:rsidRPr="00231C02" w:rsidRDefault="0008031E" w:rsidP="005640B4">
            <w:pPr>
              <w:rPr>
                <w:rFonts w:ascii="Calibri" w:eastAsia="Times New Roman" w:hAnsi="Calibri" w:cs="Times New Roman"/>
                <w:color w:val="000000"/>
                <w:sz w:val="22"/>
              </w:rPr>
            </w:pPr>
            <w:r w:rsidRPr="00231C02">
              <w:rPr>
                <w:rFonts w:ascii="Calibri" w:eastAsia="Times New Roman" w:hAnsi="Calibri" w:cs="Times New Roman"/>
                <w:color w:val="000000"/>
                <w:sz w:val="22"/>
              </w:rPr>
              <w:t>December/</w:t>
            </w:r>
            <w:r w:rsidRPr="00231C02">
              <w:rPr>
                <w:rFonts w:ascii="Calibri" w:eastAsia="Times New Roman" w:hAnsi="Calibri" w:cs="Times New Roman"/>
                <w:color w:val="000000"/>
                <w:sz w:val="22"/>
              </w:rPr>
              <w:t>201</w:t>
            </w:r>
            <w:r w:rsidRPr="00231C02">
              <w:rPr>
                <w:rFonts w:ascii="Calibri" w:eastAsia="Times New Roman" w:hAnsi="Calibri" w:cs="Times New Roman"/>
                <w:color w:val="000000"/>
                <w:sz w:val="22"/>
              </w:rPr>
              <w:t>9</w:t>
            </w:r>
          </w:p>
        </w:tc>
      </w:tr>
    </w:tbl>
    <w:p w14:paraId="043DCBFC" w14:textId="77777777" w:rsidR="0008031E" w:rsidRDefault="0008031E" w:rsidP="0008031E">
      <w:pPr>
        <w:pStyle w:val="ListParagraph"/>
        <w:ind w:left="360"/>
      </w:pPr>
    </w:p>
    <w:p w14:paraId="626F869B" w14:textId="63AF98A8" w:rsidR="0008031E" w:rsidRPr="00231C02" w:rsidRDefault="0008031E" w:rsidP="00231C02">
      <w:pPr>
        <w:pStyle w:val="ListParagraph"/>
        <w:numPr>
          <w:ilvl w:val="0"/>
          <w:numId w:val="1"/>
        </w:numPr>
        <w:rPr>
          <w:b/>
        </w:rPr>
      </w:pPr>
      <w:r w:rsidRPr="0008031E">
        <w:rPr>
          <w:b/>
        </w:rPr>
        <w:t xml:space="preserve">Project overview and description </w:t>
      </w:r>
    </w:p>
    <w:p w14:paraId="15603C3D" w14:textId="77777777" w:rsidR="0008031E" w:rsidRDefault="0008031E" w:rsidP="0008031E">
      <w:pPr>
        <w:jc w:val="both"/>
      </w:pPr>
      <w:r w:rsidRPr="0008031E">
        <w:t xml:space="preserve">Recognizing their need for good quality </w:t>
      </w:r>
      <w:proofErr w:type="spellStart"/>
      <w:r w:rsidRPr="0008031E">
        <w:t>hydromet</w:t>
      </w:r>
      <w:proofErr w:type="spellEnd"/>
      <w:r w:rsidRPr="0008031E">
        <w:t xml:space="preserve"> information to support their development and implementation of effective adaptation plans, LDC partner countries requested </w:t>
      </w:r>
      <w:r>
        <w:t xml:space="preserve">donor support. </w:t>
      </w:r>
      <w:r w:rsidRPr="0008031E">
        <w:t xml:space="preserve"> In response these requests, the LDCF in 2014 approved $50 million for assistance to improving </w:t>
      </w:r>
      <w:proofErr w:type="spellStart"/>
      <w:r w:rsidRPr="0008031E">
        <w:t>hydromet</w:t>
      </w:r>
      <w:proofErr w:type="spellEnd"/>
      <w:r w:rsidRPr="0008031E">
        <w:t xml:space="preserve"> services in 11 African LDCs (see Figure 2)</w:t>
      </w:r>
      <w:r>
        <w:t xml:space="preserve"> through approval of national climate information and early warning projects</w:t>
      </w:r>
      <w:r w:rsidRPr="0008031E">
        <w:t>. UNDP</w:t>
      </w:r>
      <w:r>
        <w:t>, under instruction of the LDCF,</w:t>
      </w:r>
      <w:r w:rsidRPr="0008031E">
        <w:t xml:space="preserve"> initiated CIRDA to </w:t>
      </w:r>
      <w:r>
        <w:t xml:space="preserve"> provide global technical support to these countries in the form of highly technical expertise and technology transfer. </w:t>
      </w:r>
    </w:p>
    <w:p w14:paraId="4AE1BE7A" w14:textId="77777777" w:rsidR="0008031E" w:rsidRDefault="0008031E" w:rsidP="0008031E">
      <w:pPr>
        <w:jc w:val="both"/>
      </w:pPr>
    </w:p>
    <w:p w14:paraId="7E7EF541" w14:textId="77777777" w:rsidR="0008031E" w:rsidRDefault="0008031E" w:rsidP="0008031E">
      <w:pPr>
        <w:jc w:val="both"/>
      </w:pPr>
      <w:r>
        <w:lastRenderedPageBreak/>
        <w:t>The LDCF, under request of the 11 partner countries,</w:t>
      </w:r>
      <w:r w:rsidRPr="0008031E">
        <w:t xml:space="preserve"> specifically charged CIRDA with promoting innovative, sustainable approaches that would empower the NMHSs to carry out several critical functions. These included enabling the NMHSs to not only make local </w:t>
      </w:r>
      <w:proofErr w:type="spellStart"/>
      <w:r w:rsidRPr="0008031E">
        <w:t>hydromet</w:t>
      </w:r>
      <w:proofErr w:type="spellEnd"/>
      <w:r w:rsidRPr="0008031E">
        <w:t xml:space="preserve"> observations, but also combine such observations with model output and satellite observations to produce and deliver to users high-quality hydrometeorological and climatological analyses, skillful weather forecasts, credible seasonal to interannual climate outlooks, and timely early warnings. </w:t>
      </w:r>
    </w:p>
    <w:p w14:paraId="28D5B7A4" w14:textId="77777777" w:rsidR="0008031E" w:rsidRDefault="0008031E" w:rsidP="0008031E">
      <w:pPr>
        <w:jc w:val="both"/>
      </w:pPr>
    </w:p>
    <w:p w14:paraId="70F9600B" w14:textId="5E84ACE1" w:rsidR="0008031E" w:rsidRDefault="0008031E" w:rsidP="0008031E">
      <w:pPr>
        <w:jc w:val="both"/>
      </w:pPr>
      <w:r w:rsidRPr="0008031E">
        <w:t>In delivering this charge, the goal of the GEF LDCF was to move the development program from a traditional narrow focus on acquiring and deploying yet more hardware, to one that emphasized identifying and meeting the needs of end users, particularly those of the poorest and most vulnerable. The objective was to respond to immediate needs while building the capacity to support effective climate change adaptation in the longer term</w:t>
      </w:r>
      <w:r>
        <w:t xml:space="preserve">. </w:t>
      </w:r>
    </w:p>
    <w:p w14:paraId="22E92029" w14:textId="6483985D" w:rsidR="0008031E" w:rsidRDefault="0008031E" w:rsidP="0008031E">
      <w:pPr>
        <w:jc w:val="both"/>
      </w:pPr>
    </w:p>
    <w:p w14:paraId="6A3FD1C6" w14:textId="35A0BE99" w:rsidR="0008031E" w:rsidRDefault="0008031E" w:rsidP="0008031E">
      <w:pPr>
        <w:jc w:val="both"/>
      </w:pPr>
      <w:r>
        <w:t>A CIRDA support</w:t>
      </w:r>
      <w:r w:rsidRPr="00EE5BD3">
        <w:t xml:space="preserve"> </w:t>
      </w:r>
      <w:r>
        <w:t xml:space="preserve">team </w:t>
      </w:r>
      <w:r w:rsidRPr="00EE5BD3">
        <w:t xml:space="preserve">of experts - meteorologists, hydrologists, engineers, economists, </w:t>
      </w:r>
      <w:r>
        <w:t xml:space="preserve">administrators, </w:t>
      </w:r>
      <w:r w:rsidRPr="00EE5BD3">
        <w:t>and private sector advisors</w:t>
      </w:r>
      <w:r>
        <w:t xml:space="preserve"> –</w:t>
      </w:r>
      <w:r w:rsidRPr="00EE5BD3">
        <w:t xml:space="preserve"> work</w:t>
      </w:r>
      <w:r>
        <w:t>ed closely</w:t>
      </w:r>
      <w:r w:rsidRPr="00EE5BD3">
        <w:t xml:space="preserve"> with the NMHS staffs for the </w:t>
      </w:r>
      <w:r>
        <w:t>duration of the program. The technical</w:t>
      </w:r>
      <w:r w:rsidRPr="00EE5BD3">
        <w:t xml:space="preserve"> </w:t>
      </w:r>
      <w:r>
        <w:t xml:space="preserve">experts all had extensive </w:t>
      </w:r>
      <w:r w:rsidRPr="00EE5BD3">
        <w:t>prior hands-on experience in sel</w:t>
      </w:r>
      <w:r w:rsidRPr="00737DC2">
        <w:t>ect</w:t>
      </w:r>
      <w:r>
        <w:t xml:space="preserve">ing and deploying </w:t>
      </w:r>
      <w:proofErr w:type="spellStart"/>
      <w:r>
        <w:t>hydromet</w:t>
      </w:r>
      <w:proofErr w:type="spellEnd"/>
      <w:r>
        <w:t xml:space="preserve"> monitoring</w:t>
      </w:r>
      <w:r w:rsidRPr="00737DC2">
        <w:t xml:space="preserve"> equipment in </w:t>
      </w:r>
      <w:r>
        <w:t xml:space="preserve">local- and national-scale </w:t>
      </w:r>
      <w:r w:rsidRPr="00737DC2">
        <w:t>observing networks, as well as applying the resulting data streams to</w:t>
      </w:r>
      <w:r>
        <w:t xml:space="preserve"> the development, production,</w:t>
      </w:r>
      <w:r w:rsidRPr="00737DC2">
        <w:t xml:space="preserve"> and deliver</w:t>
      </w:r>
      <w:r>
        <w:t>y of</w:t>
      </w:r>
      <w:r w:rsidRPr="00737DC2">
        <w:t xml:space="preserve"> useful products and services.</w:t>
      </w:r>
      <w:r>
        <w:t xml:space="preserve"> The CIRDA team supplied expertise in management of funds, procurement actions, and arrangement of all aspects of annual CIRDA workshops and other meetings.</w:t>
      </w:r>
      <w:r w:rsidRPr="00737DC2">
        <w:t xml:space="preserve"> </w:t>
      </w:r>
      <w:r>
        <w:t>The existence of a single (multi-lingual) technical team with exceptional experience and credentials allowed for a high level of support and information sharing across the 11 CIRDA countries. A</w:t>
      </w:r>
      <w:r w:rsidRPr="00737DC2">
        <w:t xml:space="preserve"> project director was </w:t>
      </w:r>
      <w:r>
        <w:t xml:space="preserve">also </w:t>
      </w:r>
      <w:r w:rsidRPr="00737DC2">
        <w:t xml:space="preserve">employed </w:t>
      </w:r>
      <w:r>
        <w:t xml:space="preserve">in each country </w:t>
      </w:r>
      <w:r w:rsidRPr="00737DC2">
        <w:t>to assure full-time, locally based consultations with country officials, civil society, and the private sector</w:t>
      </w:r>
      <w:r>
        <w:t>, and coordination with the technical and administrative teams.</w:t>
      </w:r>
      <w:r w:rsidRPr="00737DC2">
        <w:t xml:space="preserve"> </w:t>
      </w:r>
    </w:p>
    <w:p w14:paraId="72BCB31E" w14:textId="77777777" w:rsidR="0008031E" w:rsidRDefault="0008031E">
      <w:r>
        <w:br w:type="page"/>
      </w:r>
    </w:p>
    <w:p w14:paraId="17EB320C" w14:textId="77777777" w:rsidR="0008031E" w:rsidRDefault="0008031E" w:rsidP="0008031E"/>
    <w:p w14:paraId="2416BADE" w14:textId="4401EB4F" w:rsidR="0008031E" w:rsidRPr="0008031E" w:rsidRDefault="0008031E" w:rsidP="0008031E">
      <w:pPr>
        <w:pStyle w:val="ListParagraph"/>
        <w:numPr>
          <w:ilvl w:val="0"/>
          <w:numId w:val="1"/>
        </w:numPr>
        <w:rPr>
          <w:b/>
        </w:rPr>
      </w:pPr>
      <w:r w:rsidRPr="0008031E">
        <w:rPr>
          <w:b/>
        </w:rPr>
        <w:t>Results and key outcomes</w:t>
      </w:r>
    </w:p>
    <w:p w14:paraId="18AD0D4B" w14:textId="3A17EC26" w:rsidR="0008031E" w:rsidRPr="00231C02" w:rsidRDefault="0008031E" w:rsidP="0008031E">
      <w:pPr>
        <w:rPr>
          <w:sz w:val="18"/>
        </w:rPr>
      </w:pPr>
    </w:p>
    <w:tbl>
      <w:tblPr>
        <w:tblW w:w="1386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629"/>
        <w:gridCol w:w="2408"/>
        <w:gridCol w:w="3073"/>
        <w:gridCol w:w="4874"/>
        <w:gridCol w:w="1876"/>
      </w:tblGrid>
      <w:tr w:rsidR="0008031E" w:rsidRPr="00452CD2" w14:paraId="423D85C0" w14:textId="77777777" w:rsidTr="00817531">
        <w:trPr>
          <w:trHeight w:val="510"/>
        </w:trPr>
        <w:tc>
          <w:tcPr>
            <w:tcW w:w="1629" w:type="dxa"/>
            <w:shd w:val="clear" w:color="D6E3BC" w:fill="D6E3BC"/>
            <w:vAlign w:val="center"/>
            <w:hideMark/>
          </w:tcPr>
          <w:p w14:paraId="0C968A76" w14:textId="77777777" w:rsidR="0008031E" w:rsidRPr="00452CD2" w:rsidRDefault="0008031E" w:rsidP="005640B4">
            <w:pPr>
              <w:jc w:val="center"/>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Type of Indicator</w:t>
            </w:r>
          </w:p>
        </w:tc>
        <w:tc>
          <w:tcPr>
            <w:tcW w:w="2408" w:type="dxa"/>
            <w:shd w:val="clear" w:color="FFFFFF" w:fill="FFFFFF"/>
            <w:vAlign w:val="center"/>
            <w:hideMark/>
          </w:tcPr>
          <w:p w14:paraId="064A8027" w14:textId="77777777" w:rsidR="0008031E" w:rsidRPr="00452CD2" w:rsidRDefault="0008031E" w:rsidP="005640B4">
            <w:pPr>
              <w:jc w:val="center"/>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Indicator</w:t>
            </w:r>
          </w:p>
        </w:tc>
        <w:tc>
          <w:tcPr>
            <w:tcW w:w="3073" w:type="dxa"/>
            <w:shd w:val="clear" w:color="FFFFFF" w:fill="FFFFFF"/>
            <w:vAlign w:val="center"/>
            <w:hideMark/>
          </w:tcPr>
          <w:p w14:paraId="7322FCE1" w14:textId="77777777" w:rsidR="0008031E" w:rsidRPr="00452CD2" w:rsidRDefault="0008031E" w:rsidP="005640B4">
            <w:pPr>
              <w:jc w:val="center"/>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Baseline</w:t>
            </w:r>
          </w:p>
        </w:tc>
        <w:tc>
          <w:tcPr>
            <w:tcW w:w="4874" w:type="dxa"/>
            <w:shd w:val="clear" w:color="auto" w:fill="auto"/>
            <w:vAlign w:val="center"/>
            <w:hideMark/>
          </w:tcPr>
          <w:p w14:paraId="204C4418" w14:textId="77777777" w:rsidR="0008031E" w:rsidRPr="00452CD2" w:rsidRDefault="0008031E" w:rsidP="005640B4">
            <w:pPr>
              <w:jc w:val="center"/>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Progress since inception</w:t>
            </w:r>
          </w:p>
        </w:tc>
        <w:tc>
          <w:tcPr>
            <w:tcW w:w="1876" w:type="dxa"/>
            <w:shd w:val="clear" w:color="FFFFFF" w:fill="FFFFFF"/>
            <w:vAlign w:val="center"/>
            <w:hideMark/>
          </w:tcPr>
          <w:p w14:paraId="28DD060A" w14:textId="77777777" w:rsidR="0008031E" w:rsidRPr="00452CD2" w:rsidRDefault="0008031E" w:rsidP="005640B4">
            <w:pPr>
              <w:jc w:val="center"/>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Target for Project End</w:t>
            </w:r>
          </w:p>
        </w:tc>
      </w:tr>
      <w:tr w:rsidR="00817531" w:rsidRPr="00452CD2" w14:paraId="60E74F82" w14:textId="77777777" w:rsidTr="009333F9">
        <w:trPr>
          <w:trHeight w:val="3700"/>
        </w:trPr>
        <w:tc>
          <w:tcPr>
            <w:tcW w:w="1629" w:type="dxa"/>
            <w:shd w:val="clear" w:color="D6E3BC" w:fill="D6E3BC"/>
            <w:hideMark/>
          </w:tcPr>
          <w:p w14:paraId="39AC44BD"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t xml:space="preserve">Project Objective: </w:t>
            </w:r>
            <w:r w:rsidRPr="0008031E">
              <w:rPr>
                <w:rFonts w:ascii="Times New Roman" w:eastAsia="Times New Roman" w:hAnsi="Times New Roman" w:cs="Times New Roman"/>
                <w:b/>
                <w:bCs/>
                <w:color w:val="000000"/>
                <w:sz w:val="16"/>
                <w:szCs w:val="16"/>
              </w:rPr>
              <w:t>To ensure that all</w:t>
            </w:r>
          </w:p>
          <w:p w14:paraId="20D5E1ED"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components of the</w:t>
            </w:r>
          </w:p>
          <w:p w14:paraId="4848FDB7"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climate monitoring,</w:t>
            </w:r>
          </w:p>
          <w:p w14:paraId="4AD1C2BA" w14:textId="0E8C486C"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forecasting and early</w:t>
            </w:r>
            <w:r>
              <w:rPr>
                <w:rFonts w:ascii="Times New Roman" w:eastAsia="Times New Roman" w:hAnsi="Times New Roman" w:cs="Times New Roman"/>
                <w:b/>
                <w:bCs/>
                <w:color w:val="000000"/>
                <w:sz w:val="16"/>
                <w:szCs w:val="16"/>
              </w:rPr>
              <w:t xml:space="preserve"> </w:t>
            </w:r>
            <w:r w:rsidRPr="0008031E">
              <w:rPr>
                <w:rFonts w:ascii="Times New Roman" w:eastAsia="Times New Roman" w:hAnsi="Times New Roman" w:cs="Times New Roman"/>
                <w:b/>
                <w:bCs/>
                <w:color w:val="000000"/>
                <w:sz w:val="16"/>
                <w:szCs w:val="16"/>
              </w:rPr>
              <w:t>warning systems in</w:t>
            </w:r>
            <w:r>
              <w:rPr>
                <w:rFonts w:ascii="Times New Roman" w:eastAsia="Times New Roman" w:hAnsi="Times New Roman" w:cs="Times New Roman"/>
                <w:b/>
                <w:bCs/>
                <w:color w:val="000000"/>
                <w:sz w:val="16"/>
                <w:szCs w:val="16"/>
              </w:rPr>
              <w:t xml:space="preserve"> e</w:t>
            </w:r>
            <w:r w:rsidRPr="0008031E">
              <w:rPr>
                <w:rFonts w:ascii="Times New Roman" w:eastAsia="Times New Roman" w:hAnsi="Times New Roman" w:cs="Times New Roman"/>
                <w:b/>
                <w:bCs/>
                <w:color w:val="000000"/>
                <w:sz w:val="16"/>
                <w:szCs w:val="16"/>
              </w:rPr>
              <w:t>ach country</w:t>
            </w:r>
            <w:r>
              <w:rPr>
                <w:rFonts w:ascii="Times New Roman" w:eastAsia="Times New Roman" w:hAnsi="Times New Roman" w:cs="Times New Roman"/>
                <w:b/>
                <w:bCs/>
                <w:color w:val="000000"/>
                <w:sz w:val="16"/>
                <w:szCs w:val="16"/>
              </w:rPr>
              <w:t xml:space="preserve"> </w:t>
            </w:r>
            <w:r w:rsidRPr="0008031E">
              <w:rPr>
                <w:rFonts w:ascii="Times New Roman" w:eastAsia="Times New Roman" w:hAnsi="Times New Roman" w:cs="Times New Roman"/>
                <w:b/>
                <w:bCs/>
                <w:color w:val="000000"/>
                <w:sz w:val="16"/>
                <w:szCs w:val="16"/>
              </w:rPr>
              <w:t>participating in the</w:t>
            </w:r>
          </w:p>
          <w:p w14:paraId="655E0328" w14:textId="03830665"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multi-country</w:t>
            </w:r>
            <w:r>
              <w:rPr>
                <w:rFonts w:ascii="Times New Roman" w:eastAsia="Times New Roman" w:hAnsi="Times New Roman" w:cs="Times New Roman"/>
                <w:b/>
                <w:bCs/>
                <w:color w:val="000000"/>
                <w:sz w:val="16"/>
                <w:szCs w:val="16"/>
              </w:rPr>
              <w:t xml:space="preserve"> </w:t>
            </w:r>
            <w:proofErr w:type="spellStart"/>
            <w:r w:rsidRPr="0008031E">
              <w:rPr>
                <w:rFonts w:ascii="Times New Roman" w:eastAsia="Times New Roman" w:hAnsi="Times New Roman" w:cs="Times New Roman"/>
                <w:b/>
                <w:bCs/>
                <w:color w:val="000000"/>
                <w:sz w:val="16"/>
                <w:szCs w:val="16"/>
              </w:rPr>
              <w:t>programme</w:t>
            </w:r>
            <w:proofErr w:type="spellEnd"/>
            <w:r w:rsidRPr="0008031E">
              <w:rPr>
                <w:rFonts w:ascii="Times New Roman" w:eastAsia="Times New Roman" w:hAnsi="Times New Roman" w:cs="Times New Roman"/>
                <w:b/>
                <w:bCs/>
                <w:color w:val="000000"/>
                <w:sz w:val="16"/>
                <w:szCs w:val="16"/>
              </w:rPr>
              <w:t xml:space="preserve"> are able to</w:t>
            </w:r>
            <w:r>
              <w:rPr>
                <w:rFonts w:ascii="Times New Roman" w:eastAsia="Times New Roman" w:hAnsi="Times New Roman" w:cs="Times New Roman"/>
                <w:b/>
                <w:bCs/>
                <w:color w:val="000000"/>
                <w:sz w:val="16"/>
                <w:szCs w:val="16"/>
              </w:rPr>
              <w:t xml:space="preserve"> </w:t>
            </w:r>
            <w:r w:rsidRPr="0008031E">
              <w:rPr>
                <w:rFonts w:ascii="Times New Roman" w:eastAsia="Times New Roman" w:hAnsi="Times New Roman" w:cs="Times New Roman"/>
                <w:b/>
                <w:bCs/>
                <w:color w:val="000000"/>
                <w:sz w:val="16"/>
                <w:szCs w:val="16"/>
              </w:rPr>
              <w:t>deliver timely</w:t>
            </w:r>
          </w:p>
          <w:p w14:paraId="62AC0014"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information and</w:t>
            </w:r>
          </w:p>
          <w:p w14:paraId="7B8BE457"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warnings, utilizing</w:t>
            </w:r>
          </w:p>
          <w:p w14:paraId="40C3DF15"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appropriate</w:t>
            </w:r>
          </w:p>
          <w:p w14:paraId="3551FDAC" w14:textId="77777777" w:rsidR="00817531" w:rsidRPr="0008031E"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technologies and</w:t>
            </w:r>
          </w:p>
          <w:p w14:paraId="4D40E19A" w14:textId="1B415152" w:rsidR="00817531" w:rsidRPr="00452CD2" w:rsidRDefault="00817531" w:rsidP="0008031E">
            <w:pPr>
              <w:jc w:val="both"/>
              <w:rPr>
                <w:rFonts w:ascii="Times New Roman" w:eastAsia="Times New Roman" w:hAnsi="Times New Roman" w:cs="Times New Roman"/>
                <w:b/>
                <w:bCs/>
                <w:color w:val="000000"/>
                <w:sz w:val="16"/>
                <w:szCs w:val="16"/>
              </w:rPr>
            </w:pPr>
            <w:r w:rsidRPr="0008031E">
              <w:rPr>
                <w:rFonts w:ascii="Times New Roman" w:eastAsia="Times New Roman" w:hAnsi="Times New Roman" w:cs="Times New Roman"/>
                <w:b/>
                <w:bCs/>
                <w:color w:val="000000"/>
                <w:sz w:val="16"/>
                <w:szCs w:val="16"/>
              </w:rPr>
              <w:t>scientific knowledge in</w:t>
            </w:r>
            <w:r>
              <w:rPr>
                <w:rFonts w:ascii="Times New Roman" w:eastAsia="Times New Roman" w:hAnsi="Times New Roman" w:cs="Times New Roman"/>
                <w:b/>
                <w:bCs/>
                <w:color w:val="000000"/>
                <w:sz w:val="16"/>
                <w:szCs w:val="16"/>
              </w:rPr>
              <w:t xml:space="preserve"> </w:t>
            </w:r>
            <w:r w:rsidRPr="0008031E">
              <w:rPr>
                <w:rFonts w:ascii="Times New Roman" w:eastAsia="Times New Roman" w:hAnsi="Times New Roman" w:cs="Times New Roman"/>
                <w:b/>
                <w:bCs/>
                <w:color w:val="000000"/>
                <w:sz w:val="16"/>
                <w:szCs w:val="16"/>
              </w:rPr>
              <w:t>a sustainable manner</w:t>
            </w:r>
          </w:p>
        </w:tc>
        <w:tc>
          <w:tcPr>
            <w:tcW w:w="2408" w:type="dxa"/>
            <w:shd w:val="clear" w:color="FFFFFF" w:fill="FFFFFF"/>
            <w:hideMark/>
          </w:tcPr>
          <w:p w14:paraId="4D1BBC64" w14:textId="689C9A56" w:rsidR="00817531" w:rsidRPr="00452CD2" w:rsidRDefault="00817531" w:rsidP="00817531">
            <w:pPr>
              <w:jc w:val="both"/>
              <w:rPr>
                <w:rFonts w:ascii="Times New Roman" w:eastAsia="Times New Roman" w:hAnsi="Times New Roman" w:cs="Times New Roman"/>
                <w:color w:val="000000"/>
                <w:sz w:val="16"/>
                <w:szCs w:val="16"/>
              </w:rPr>
            </w:pPr>
            <w:r w:rsidRPr="00817531">
              <w:rPr>
                <w:rFonts w:ascii="Times New Roman" w:eastAsia="Times New Roman" w:hAnsi="Times New Roman" w:cs="Times New Roman"/>
                <w:color w:val="000000"/>
                <w:sz w:val="16"/>
                <w:szCs w:val="16"/>
              </w:rPr>
              <w:t>Level and quality</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of technical support</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and backstopping</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provided is adequate</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and has significantly</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contributed to the</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delivery of the multi</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 xml:space="preserve">country </w:t>
            </w:r>
            <w:proofErr w:type="spellStart"/>
            <w:r w:rsidRPr="00817531">
              <w:rPr>
                <w:rFonts w:ascii="Times New Roman" w:eastAsia="Times New Roman" w:hAnsi="Times New Roman" w:cs="Times New Roman"/>
                <w:color w:val="000000"/>
                <w:sz w:val="16"/>
                <w:szCs w:val="16"/>
              </w:rPr>
              <w:t>programme</w:t>
            </w:r>
            <w:proofErr w:type="spellEnd"/>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as measured</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through</w:t>
            </w:r>
            <w:r>
              <w:rPr>
                <w:rFonts w:ascii="Times New Roman" w:eastAsia="Times New Roman" w:hAnsi="Times New Roman" w:cs="Times New Roman"/>
                <w:color w:val="000000"/>
                <w:sz w:val="16"/>
                <w:szCs w:val="16"/>
              </w:rPr>
              <w:t xml:space="preserve"> </w:t>
            </w:r>
            <w:r w:rsidRPr="00817531">
              <w:rPr>
                <w:rFonts w:ascii="Times New Roman" w:eastAsia="Times New Roman" w:hAnsi="Times New Roman" w:cs="Times New Roman"/>
                <w:color w:val="000000"/>
                <w:sz w:val="16"/>
                <w:szCs w:val="16"/>
              </w:rPr>
              <w:t>the capacity</w:t>
            </w:r>
            <w:r>
              <w:rPr>
                <w:rFonts w:ascii="Times New Roman" w:eastAsia="Times New Roman" w:hAnsi="Times New Roman" w:cs="Times New Roman"/>
                <w:color w:val="000000"/>
                <w:sz w:val="16"/>
                <w:szCs w:val="16"/>
              </w:rPr>
              <w:t xml:space="preserve"> a</w:t>
            </w:r>
            <w:r w:rsidRPr="00817531">
              <w:rPr>
                <w:rFonts w:ascii="Times New Roman" w:eastAsia="Times New Roman" w:hAnsi="Times New Roman" w:cs="Times New Roman"/>
                <w:color w:val="000000"/>
                <w:sz w:val="16"/>
                <w:szCs w:val="16"/>
              </w:rPr>
              <w:t>ssessment scorecard.</w:t>
            </w:r>
          </w:p>
        </w:tc>
        <w:tc>
          <w:tcPr>
            <w:tcW w:w="3073" w:type="dxa"/>
            <w:shd w:val="clear" w:color="000000" w:fill="FFFFFF"/>
            <w:hideMark/>
          </w:tcPr>
          <w:p w14:paraId="3C17344D" w14:textId="46397B66" w:rsidR="00817531" w:rsidRPr="00817531" w:rsidRDefault="00817531" w:rsidP="00817531">
            <w:pPr>
              <w:autoSpaceDE w:val="0"/>
              <w:autoSpaceDN w:val="0"/>
              <w:adjustRightInd w:val="0"/>
              <w:rPr>
                <w:rFonts w:ascii="Times New Roman" w:hAnsi="Times New Roman" w:cs="Times New Roman"/>
                <w:sz w:val="16"/>
                <w:szCs w:val="16"/>
              </w:rPr>
            </w:pPr>
            <w:r w:rsidRPr="00817531">
              <w:rPr>
                <w:rFonts w:ascii="Times New Roman" w:hAnsi="Times New Roman" w:cs="Times New Roman"/>
                <w:sz w:val="16"/>
                <w:szCs w:val="16"/>
              </w:rPr>
              <w:t>Limited or no</w:t>
            </w:r>
            <w:r>
              <w:rPr>
                <w:rFonts w:ascii="Times New Roman" w:hAnsi="Times New Roman" w:cs="Times New Roman"/>
                <w:sz w:val="16"/>
                <w:szCs w:val="16"/>
              </w:rPr>
              <w:t xml:space="preserve"> </w:t>
            </w:r>
            <w:r w:rsidRPr="00817531">
              <w:rPr>
                <w:rFonts w:ascii="Times New Roman" w:hAnsi="Times New Roman" w:cs="Times New Roman"/>
                <w:sz w:val="16"/>
                <w:szCs w:val="16"/>
              </w:rPr>
              <w:t>technical support and</w:t>
            </w:r>
            <w:r>
              <w:rPr>
                <w:rFonts w:ascii="Times New Roman" w:hAnsi="Times New Roman" w:cs="Times New Roman"/>
                <w:sz w:val="16"/>
                <w:szCs w:val="16"/>
              </w:rPr>
              <w:t xml:space="preserve"> </w:t>
            </w:r>
            <w:r w:rsidRPr="00817531">
              <w:rPr>
                <w:rFonts w:ascii="Times New Roman" w:hAnsi="Times New Roman" w:cs="Times New Roman"/>
                <w:sz w:val="16"/>
                <w:szCs w:val="16"/>
              </w:rPr>
              <w:t>backstopping</w:t>
            </w:r>
            <w:r>
              <w:rPr>
                <w:rFonts w:ascii="Times New Roman" w:hAnsi="Times New Roman" w:cs="Times New Roman"/>
                <w:sz w:val="16"/>
                <w:szCs w:val="16"/>
              </w:rPr>
              <w:t xml:space="preserve"> </w:t>
            </w:r>
            <w:r w:rsidRPr="00817531">
              <w:rPr>
                <w:rFonts w:ascii="Times New Roman" w:hAnsi="Times New Roman" w:cs="Times New Roman"/>
                <w:sz w:val="16"/>
                <w:szCs w:val="16"/>
              </w:rPr>
              <w:t>currently accessible</w:t>
            </w:r>
            <w:r>
              <w:rPr>
                <w:rFonts w:ascii="Times New Roman" w:hAnsi="Times New Roman" w:cs="Times New Roman"/>
                <w:sz w:val="16"/>
                <w:szCs w:val="16"/>
              </w:rPr>
              <w:t xml:space="preserve"> </w:t>
            </w:r>
            <w:r w:rsidRPr="00817531">
              <w:rPr>
                <w:rFonts w:ascii="Times New Roman" w:hAnsi="Times New Roman" w:cs="Times New Roman"/>
                <w:sz w:val="16"/>
                <w:szCs w:val="16"/>
              </w:rPr>
              <w:t>to countries.</w:t>
            </w:r>
          </w:p>
        </w:tc>
        <w:tc>
          <w:tcPr>
            <w:tcW w:w="4874" w:type="dxa"/>
            <w:shd w:val="clear" w:color="000000" w:fill="FFFFFF"/>
            <w:hideMark/>
          </w:tcPr>
          <w:p w14:paraId="20BC1DF9" w14:textId="2DFE0B05" w:rsidR="00817531" w:rsidRDefault="00606C9C" w:rsidP="005640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During the project’s lifetime considerable support was provided by the CIRDA team in identifying </w:t>
            </w:r>
            <w:r w:rsidR="001F2432">
              <w:rPr>
                <w:rFonts w:ascii="Times New Roman" w:eastAsia="Times New Roman" w:hAnsi="Times New Roman" w:cs="Times New Roman"/>
                <w:color w:val="000000"/>
                <w:sz w:val="16"/>
                <w:szCs w:val="16"/>
              </w:rPr>
              <w:t xml:space="preserve">potential partners to enhance CI/EWS systems and their sustainability, developing tailored trainings to countries in data assimilation, integration, digitalization. CIRDA exports worked with  all 11 partner countries in assessing their needs for met equipment, identifying suitable options and in developing procurement tools in the form of LTAs to meet these challenges. Regional workshops where held in an annual basis and their usefulness and relevance was consistently evaluated, training modules where developed and available for not only national partners but for countries in general. Missions by team experts where deployed to all 11 national partners and knowledge management in the form of regional market studies and lessons learned where developed. This enhanced the scope of achievement of national projects. </w:t>
            </w:r>
          </w:p>
          <w:p w14:paraId="05F98CAC" w14:textId="51964B65" w:rsidR="00B67A5A" w:rsidRDefault="00B67A5A" w:rsidP="005640B4">
            <w:pPr>
              <w:rPr>
                <w:rFonts w:ascii="Times New Roman" w:eastAsia="Times New Roman" w:hAnsi="Times New Roman" w:cs="Times New Roman"/>
                <w:color w:val="000000"/>
                <w:sz w:val="16"/>
                <w:szCs w:val="16"/>
              </w:rPr>
            </w:pPr>
          </w:p>
          <w:p w14:paraId="0DD74247" w14:textId="52CC9E04" w:rsidR="00B67A5A" w:rsidRDefault="00B67A5A" w:rsidP="005640B4">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Capacity scorecard results per final PIRs</w:t>
            </w:r>
          </w:p>
          <w:p w14:paraId="26B4DA9C" w14:textId="69987594" w:rsidR="005A6AE9" w:rsidRPr="002A5219" w:rsidRDefault="005A6AE9" w:rsidP="002A5219">
            <w:pPr>
              <w:pStyle w:val="ListParagraph"/>
              <w:numPr>
                <w:ilvl w:val="0"/>
                <w:numId w:val="4"/>
              </w:numPr>
              <w:jc w:val="both"/>
              <w:rPr>
                <w:rFonts w:ascii="Times New Roman" w:eastAsia="Times New Roman" w:hAnsi="Times New Roman" w:cs="Times New Roman"/>
                <w:sz w:val="16"/>
                <w:szCs w:val="16"/>
              </w:rPr>
            </w:pPr>
            <w:r w:rsidRPr="002A5219">
              <w:rPr>
                <w:rFonts w:ascii="Times New Roman" w:eastAsia="Times New Roman" w:hAnsi="Times New Roman" w:cs="Times New Roman"/>
                <w:sz w:val="16"/>
                <w:szCs w:val="16"/>
              </w:rPr>
              <w:t xml:space="preserve">Benin- </w:t>
            </w:r>
            <w:r w:rsidRPr="002A5219">
              <w:rPr>
                <w:rFonts w:ascii="Times New Roman" w:eastAsia="Times New Roman" w:hAnsi="Times New Roman" w:cs="Times New Roman"/>
                <w:sz w:val="16"/>
                <w:szCs w:val="16"/>
              </w:rPr>
              <w:t xml:space="preserve">Capacity reported as enhanced for national institutions this was confirmed in the project’s TE however a score card score was not explicitly provided. </w:t>
            </w:r>
          </w:p>
          <w:p w14:paraId="4BCAD4CB" w14:textId="1A61B70B" w:rsidR="00305C16" w:rsidRPr="002A5219" w:rsidRDefault="00305C16" w:rsidP="002A5219">
            <w:pPr>
              <w:pStyle w:val="ListParagraph"/>
              <w:numPr>
                <w:ilvl w:val="0"/>
                <w:numId w:val="4"/>
              </w:numPr>
              <w:rPr>
                <w:rFonts w:ascii="Times New Roman" w:eastAsia="Times New Roman" w:hAnsi="Times New Roman" w:cs="Times New Roman"/>
                <w:color w:val="000000"/>
                <w:sz w:val="16"/>
                <w:szCs w:val="16"/>
              </w:rPr>
            </w:pPr>
            <w:r w:rsidRPr="002A5219">
              <w:rPr>
                <w:rFonts w:ascii="Times New Roman" w:eastAsia="Times New Roman" w:hAnsi="Times New Roman" w:cs="Times New Roman"/>
                <w:color w:val="000000"/>
                <w:sz w:val="16"/>
                <w:szCs w:val="16"/>
              </w:rPr>
              <w:t>Burkina Faso- 176 (baseline 74 and target was 1</w:t>
            </w:r>
            <w:r w:rsidR="00F95164" w:rsidRPr="002A5219">
              <w:rPr>
                <w:rFonts w:ascii="Times New Roman" w:eastAsia="Times New Roman" w:hAnsi="Times New Roman" w:cs="Times New Roman"/>
                <w:color w:val="000000"/>
                <w:sz w:val="16"/>
                <w:szCs w:val="16"/>
              </w:rPr>
              <w:t>61</w:t>
            </w:r>
            <w:r w:rsidRPr="002A5219">
              <w:rPr>
                <w:rFonts w:ascii="Times New Roman" w:eastAsia="Times New Roman" w:hAnsi="Times New Roman" w:cs="Times New Roman"/>
                <w:color w:val="000000"/>
                <w:sz w:val="16"/>
                <w:szCs w:val="16"/>
              </w:rPr>
              <w:t>)</w:t>
            </w:r>
          </w:p>
          <w:p w14:paraId="71AD50EA" w14:textId="5ED34F76" w:rsidR="00A1498F" w:rsidRDefault="00A1498F" w:rsidP="002A5219">
            <w:pPr>
              <w:pStyle w:val="ListParagraph"/>
              <w:numPr>
                <w:ilvl w:val="0"/>
                <w:numId w:val="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Ethiopia: </w:t>
            </w:r>
            <w:r w:rsidR="00C03C3C">
              <w:rPr>
                <w:rFonts w:ascii="Times New Roman" w:eastAsia="Times New Roman" w:hAnsi="Times New Roman" w:cs="Times New Roman"/>
                <w:color w:val="000000"/>
                <w:sz w:val="16"/>
                <w:szCs w:val="16"/>
              </w:rPr>
              <w:t>Terminal evaluation rated this achievement as satisfactory</w:t>
            </w:r>
          </w:p>
          <w:p w14:paraId="7D025603" w14:textId="24C38DD7" w:rsidR="00A1498F" w:rsidRDefault="00A1498F" w:rsidP="002A5219">
            <w:pPr>
              <w:pStyle w:val="ListParagraph"/>
              <w:numPr>
                <w:ilvl w:val="0"/>
                <w:numId w:val="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Liberia: </w:t>
            </w:r>
            <w:r w:rsidR="007176AF">
              <w:rPr>
                <w:rFonts w:ascii="Times New Roman" w:eastAsia="Times New Roman" w:hAnsi="Times New Roman" w:cs="Times New Roman"/>
                <w:color w:val="000000"/>
                <w:sz w:val="16"/>
                <w:szCs w:val="16"/>
              </w:rPr>
              <w:t xml:space="preserve">Capacity assessment score rating was not used however credible </w:t>
            </w:r>
            <w:proofErr w:type="spellStart"/>
            <w:r w:rsidR="007176AF">
              <w:rPr>
                <w:rFonts w:ascii="Times New Roman" w:eastAsia="Times New Roman" w:hAnsi="Times New Roman" w:cs="Times New Roman"/>
                <w:color w:val="000000"/>
                <w:sz w:val="16"/>
                <w:szCs w:val="16"/>
              </w:rPr>
              <w:t>evidende</w:t>
            </w:r>
            <w:proofErr w:type="spellEnd"/>
            <w:r w:rsidR="007176AF">
              <w:rPr>
                <w:rFonts w:ascii="Times New Roman" w:eastAsia="Times New Roman" w:hAnsi="Times New Roman" w:cs="Times New Roman"/>
                <w:color w:val="000000"/>
                <w:sz w:val="16"/>
                <w:szCs w:val="16"/>
              </w:rPr>
              <w:t xml:space="preserve"> in both Terminal Evaluation and PIR regarding capacity enhancement</w:t>
            </w:r>
            <w:r w:rsidR="00BA2ADF">
              <w:rPr>
                <w:rFonts w:ascii="Times New Roman" w:eastAsia="Times New Roman" w:hAnsi="Times New Roman" w:cs="Times New Roman"/>
                <w:color w:val="000000"/>
                <w:sz w:val="16"/>
                <w:szCs w:val="16"/>
              </w:rPr>
              <w:t xml:space="preserve"> of all NHMS team in equipment maintenance and forecasting through training missions and expert support. </w:t>
            </w:r>
          </w:p>
          <w:p w14:paraId="0A7837B2" w14:textId="21CE28DC" w:rsidR="00753478" w:rsidRDefault="00753478" w:rsidP="002A5219">
            <w:pPr>
              <w:pStyle w:val="ListParagraph"/>
              <w:numPr>
                <w:ilvl w:val="0"/>
                <w:numId w:val="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Malawi: </w:t>
            </w:r>
            <w:r w:rsidRPr="00753478">
              <w:rPr>
                <w:rFonts w:ascii="Times New Roman" w:eastAsia="Times New Roman" w:hAnsi="Times New Roman" w:cs="Times New Roman"/>
                <w:color w:val="000000"/>
                <w:sz w:val="16"/>
                <w:szCs w:val="16"/>
              </w:rPr>
              <w:t>The capacity scorecard rating has increased from a baseline of 72 across men and women from the project start to an average scorecard of 143 which has exceeded the targeted 121</w:t>
            </w:r>
          </w:p>
          <w:p w14:paraId="7BE75F20" w14:textId="15AF8B1B" w:rsidR="00F322ED" w:rsidRPr="002A5219" w:rsidRDefault="00F322ED" w:rsidP="002A5219">
            <w:pPr>
              <w:pStyle w:val="ListParagraph"/>
              <w:numPr>
                <w:ilvl w:val="0"/>
                <w:numId w:val="4"/>
              </w:numPr>
              <w:rPr>
                <w:rFonts w:ascii="Times New Roman" w:eastAsia="Times New Roman" w:hAnsi="Times New Roman" w:cs="Times New Roman"/>
                <w:color w:val="000000"/>
                <w:sz w:val="16"/>
                <w:szCs w:val="16"/>
              </w:rPr>
            </w:pPr>
            <w:r w:rsidRPr="002A5219">
              <w:rPr>
                <w:rFonts w:ascii="Times New Roman" w:eastAsia="Times New Roman" w:hAnsi="Times New Roman" w:cs="Times New Roman"/>
                <w:color w:val="000000"/>
                <w:sz w:val="16"/>
                <w:szCs w:val="16"/>
              </w:rPr>
              <w:t xml:space="preserve">Sao Tome- Capacity reported as considerably enhanced both  in training to NHMs and stakeholders and in equipment procured </w:t>
            </w:r>
            <w:r w:rsidR="00B178DC" w:rsidRPr="002A5219">
              <w:rPr>
                <w:rFonts w:ascii="Times New Roman" w:eastAsia="Times New Roman" w:hAnsi="Times New Roman" w:cs="Times New Roman"/>
                <w:color w:val="000000"/>
                <w:sz w:val="16"/>
                <w:szCs w:val="16"/>
              </w:rPr>
              <w:t xml:space="preserve">working and integrated to national systems. </w:t>
            </w:r>
          </w:p>
          <w:p w14:paraId="0ED6D71F" w14:textId="19617543" w:rsidR="00B67A5A" w:rsidRDefault="00B67A5A" w:rsidP="002A5219">
            <w:pPr>
              <w:pStyle w:val="ListParagraph"/>
              <w:numPr>
                <w:ilvl w:val="0"/>
                <w:numId w:val="4"/>
              </w:numPr>
              <w:rPr>
                <w:rFonts w:ascii="Times New Roman" w:eastAsia="Times New Roman" w:hAnsi="Times New Roman" w:cs="Times New Roman"/>
                <w:color w:val="000000"/>
                <w:sz w:val="16"/>
                <w:szCs w:val="16"/>
                <w:lang w:val="es-ES"/>
              </w:rPr>
            </w:pPr>
            <w:r w:rsidRPr="002A5219">
              <w:rPr>
                <w:rFonts w:ascii="Times New Roman" w:eastAsia="Times New Roman" w:hAnsi="Times New Roman" w:cs="Times New Roman"/>
                <w:color w:val="000000"/>
                <w:sz w:val="16"/>
                <w:szCs w:val="16"/>
                <w:lang w:val="es-ES"/>
              </w:rPr>
              <w:t xml:space="preserve">Sierra Leone- </w:t>
            </w:r>
            <w:r w:rsidR="00F34E19" w:rsidRPr="002A5219">
              <w:rPr>
                <w:rFonts w:ascii="Times New Roman" w:eastAsia="Times New Roman" w:hAnsi="Times New Roman" w:cs="Times New Roman"/>
                <w:color w:val="000000"/>
                <w:sz w:val="16"/>
                <w:szCs w:val="16"/>
                <w:lang w:val="es-ES"/>
              </w:rPr>
              <w:t>161 (</w:t>
            </w:r>
            <w:proofErr w:type="spellStart"/>
            <w:r w:rsidR="00F95164" w:rsidRPr="002A5219">
              <w:rPr>
                <w:rFonts w:ascii="Times New Roman" w:eastAsia="Times New Roman" w:hAnsi="Times New Roman" w:cs="Times New Roman"/>
                <w:color w:val="000000"/>
                <w:sz w:val="16"/>
                <w:szCs w:val="16"/>
                <w:lang w:val="es-ES"/>
              </w:rPr>
              <w:t>baseline</w:t>
            </w:r>
            <w:proofErr w:type="spellEnd"/>
            <w:r w:rsidR="00F34E19" w:rsidRPr="002A5219">
              <w:rPr>
                <w:rFonts w:ascii="Times New Roman" w:eastAsia="Times New Roman" w:hAnsi="Times New Roman" w:cs="Times New Roman"/>
                <w:color w:val="000000"/>
                <w:sz w:val="16"/>
                <w:szCs w:val="16"/>
                <w:lang w:val="es-ES"/>
              </w:rPr>
              <w:t xml:space="preserve"> 45)</w:t>
            </w:r>
          </w:p>
          <w:p w14:paraId="4ADC5C7D" w14:textId="2C10989C" w:rsidR="00C84D41" w:rsidRDefault="00C84D41" w:rsidP="00795C12">
            <w:pPr>
              <w:pStyle w:val="ListParagraph"/>
              <w:numPr>
                <w:ilvl w:val="0"/>
                <w:numId w:val="4"/>
              </w:numPr>
              <w:rPr>
                <w:rFonts w:ascii="Times New Roman" w:eastAsia="Times New Roman" w:hAnsi="Times New Roman" w:cs="Times New Roman"/>
                <w:color w:val="000000"/>
                <w:sz w:val="16"/>
                <w:szCs w:val="16"/>
              </w:rPr>
            </w:pPr>
            <w:r w:rsidRPr="00C84D41">
              <w:rPr>
                <w:rFonts w:ascii="Times New Roman" w:eastAsia="Times New Roman" w:hAnsi="Times New Roman" w:cs="Times New Roman"/>
                <w:color w:val="000000"/>
                <w:sz w:val="16"/>
                <w:szCs w:val="16"/>
              </w:rPr>
              <w:t xml:space="preserve">Tanzania- capacity scorecard rating not </w:t>
            </w:r>
            <w:r>
              <w:rPr>
                <w:rFonts w:ascii="Times New Roman" w:eastAsia="Times New Roman" w:hAnsi="Times New Roman" w:cs="Times New Roman"/>
                <w:color w:val="000000"/>
                <w:sz w:val="16"/>
                <w:szCs w:val="16"/>
              </w:rPr>
              <w:t>assessed rather achievement</w:t>
            </w:r>
            <w:r w:rsidR="00795C12">
              <w:rPr>
                <w:rFonts w:ascii="Times New Roman" w:eastAsia="Times New Roman" w:hAnsi="Times New Roman" w:cs="Times New Roman"/>
                <w:color w:val="000000"/>
                <w:sz w:val="16"/>
                <w:szCs w:val="16"/>
              </w:rPr>
              <w:t xml:space="preserve"> measuring was</w:t>
            </w:r>
            <w:r w:rsidRPr="00C84D41">
              <w:rPr>
                <w:rFonts w:ascii="Times New Roman" w:eastAsia="Times New Roman" w:hAnsi="Times New Roman" w:cs="Times New Roman"/>
                <w:color w:val="000000"/>
                <w:sz w:val="16"/>
                <w:szCs w:val="16"/>
              </w:rPr>
              <w:t xml:space="preserve"> based on overall assessments of project interventions and progress made toward achieving the project outcomes. </w:t>
            </w:r>
            <w:r w:rsidR="00795C12">
              <w:rPr>
                <w:rFonts w:ascii="Times New Roman" w:eastAsia="Times New Roman" w:hAnsi="Times New Roman" w:cs="Times New Roman"/>
                <w:color w:val="000000"/>
                <w:sz w:val="16"/>
                <w:szCs w:val="16"/>
              </w:rPr>
              <w:t xml:space="preserve">These indicate </w:t>
            </w:r>
            <w:r w:rsidRPr="00795C12">
              <w:rPr>
                <w:rFonts w:ascii="Times New Roman" w:eastAsia="Times New Roman" w:hAnsi="Times New Roman" w:cs="Times New Roman"/>
                <w:color w:val="000000"/>
                <w:sz w:val="16"/>
                <w:szCs w:val="16"/>
              </w:rPr>
              <w:t xml:space="preserve">enhanced the capacity of Tanzania’s Meteorological Agency and Ministry of Water and Irrigation to monitor (and forecast) droughts and floods and advocate for effective use of hydro-meteorological and </w:t>
            </w:r>
            <w:r w:rsidRPr="00795C12">
              <w:rPr>
                <w:rFonts w:ascii="Times New Roman" w:eastAsia="Times New Roman" w:hAnsi="Times New Roman" w:cs="Times New Roman"/>
                <w:color w:val="000000"/>
                <w:sz w:val="16"/>
                <w:szCs w:val="16"/>
              </w:rPr>
              <w:lastRenderedPageBreak/>
              <w:t xml:space="preserve">environmental information for making early warnings and long-term development plans in project pilot districts (namely </w:t>
            </w:r>
            <w:proofErr w:type="spellStart"/>
            <w:r w:rsidRPr="00795C12">
              <w:rPr>
                <w:rFonts w:ascii="Times New Roman" w:eastAsia="Times New Roman" w:hAnsi="Times New Roman" w:cs="Times New Roman"/>
                <w:color w:val="000000"/>
                <w:sz w:val="16"/>
                <w:szCs w:val="16"/>
              </w:rPr>
              <w:t>Liwale</w:t>
            </w:r>
            <w:proofErr w:type="spellEnd"/>
            <w:r w:rsidRPr="00795C12">
              <w:rPr>
                <w:rFonts w:ascii="Times New Roman" w:eastAsia="Times New Roman" w:hAnsi="Times New Roman" w:cs="Times New Roman"/>
                <w:color w:val="000000"/>
                <w:sz w:val="16"/>
                <w:szCs w:val="16"/>
              </w:rPr>
              <w:t xml:space="preserve"> and </w:t>
            </w:r>
            <w:proofErr w:type="spellStart"/>
            <w:r w:rsidRPr="00795C12">
              <w:rPr>
                <w:rFonts w:ascii="Times New Roman" w:eastAsia="Times New Roman" w:hAnsi="Times New Roman" w:cs="Times New Roman"/>
                <w:color w:val="000000"/>
                <w:sz w:val="16"/>
                <w:szCs w:val="16"/>
              </w:rPr>
              <w:t>Arumeru</w:t>
            </w:r>
            <w:proofErr w:type="spellEnd"/>
            <w:r w:rsidRPr="00795C12">
              <w:rPr>
                <w:rFonts w:ascii="Times New Roman" w:eastAsia="Times New Roman" w:hAnsi="Times New Roman" w:cs="Times New Roman"/>
                <w:color w:val="000000"/>
                <w:sz w:val="16"/>
                <w:szCs w:val="16"/>
              </w:rPr>
              <w:t>)</w:t>
            </w:r>
            <w:r w:rsidR="00795C12">
              <w:rPr>
                <w:rFonts w:ascii="Times New Roman" w:eastAsia="Times New Roman" w:hAnsi="Times New Roman" w:cs="Times New Roman"/>
                <w:color w:val="000000"/>
                <w:sz w:val="16"/>
                <w:szCs w:val="16"/>
              </w:rPr>
              <w:t xml:space="preserve"> through access to enhanced observation equipment and monitoring capacity. </w:t>
            </w:r>
          </w:p>
          <w:p w14:paraId="3D84D16C" w14:textId="024C4121" w:rsidR="00795C12" w:rsidRDefault="0010440A" w:rsidP="00795C12">
            <w:pPr>
              <w:pStyle w:val="ListParagraph"/>
              <w:numPr>
                <w:ilvl w:val="0"/>
                <w:numId w:val="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Uganda: </w:t>
            </w:r>
            <w:r w:rsidRPr="0010440A">
              <w:rPr>
                <w:rFonts w:ascii="Times New Roman" w:eastAsia="Times New Roman" w:hAnsi="Times New Roman" w:cs="Times New Roman"/>
                <w:color w:val="000000"/>
                <w:sz w:val="16"/>
                <w:szCs w:val="16"/>
              </w:rPr>
              <w:t>Capacity of Agencies to produce early warning information has increased from 92% in 2017 to 99% in 2018(50.5 out of target 51) attributed to quality assurance of weather services, bench-marking exposure visits to the South Africa Weather Services and various in house training; The capacity to package information increased slightly from  89% in 2017 to 92 (35 out of target of 36) again due to in house training of Uganda National Meteorological Authority (UNMA) and Directorate of Water Resources Management (DWRM) staff by suppliers of weather equipment, and Quality Management Expert from the Kenya Meteorological Department; capacity to disseminate information has remained at 100% (target of 36 out of 36) for UNMA, and did not change for the DWRM as installation of the hydrological stations were completed a month to end of the project ; and capacity of legislative and governance has slightly increased from 81% in 2017 to 85% in 2017 (15 out of 16</w:t>
            </w:r>
          </w:p>
          <w:p w14:paraId="426B41B7" w14:textId="48BBAAF2" w:rsidR="003E740E" w:rsidRPr="00795C12" w:rsidRDefault="00A1498F" w:rsidP="00795C12">
            <w:pPr>
              <w:pStyle w:val="ListParagraph"/>
              <w:numPr>
                <w:ilvl w:val="0"/>
                <w:numId w:val="4"/>
              </w:num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Zambia: </w:t>
            </w:r>
            <w:r w:rsidRPr="00A1498F">
              <w:rPr>
                <w:rFonts w:ascii="Times New Roman" w:eastAsia="Times New Roman" w:hAnsi="Times New Roman" w:cs="Times New Roman"/>
                <w:color w:val="000000"/>
                <w:sz w:val="16"/>
                <w:szCs w:val="16"/>
              </w:rPr>
              <w:t>There has been capacity increase from 80 to 156 per the capacity scorecard, which represents 91% increase since the inception of the project</w:t>
            </w:r>
          </w:p>
          <w:p w14:paraId="39C030A2" w14:textId="77777777" w:rsidR="00F34E19" w:rsidRPr="00C84D41" w:rsidRDefault="00F34E19" w:rsidP="005640B4">
            <w:pPr>
              <w:rPr>
                <w:rFonts w:ascii="Times New Roman" w:eastAsia="Times New Roman" w:hAnsi="Times New Roman" w:cs="Times New Roman"/>
                <w:color w:val="000000"/>
                <w:sz w:val="16"/>
                <w:szCs w:val="16"/>
              </w:rPr>
            </w:pPr>
          </w:p>
          <w:p w14:paraId="311CA208" w14:textId="704A29B4" w:rsidR="001F2432" w:rsidRPr="00C84D41" w:rsidRDefault="001F2432" w:rsidP="005640B4">
            <w:pPr>
              <w:rPr>
                <w:rFonts w:ascii="Times New Roman" w:eastAsia="Times New Roman" w:hAnsi="Times New Roman" w:cs="Times New Roman"/>
                <w:color w:val="000000"/>
                <w:sz w:val="16"/>
                <w:szCs w:val="16"/>
              </w:rPr>
            </w:pPr>
          </w:p>
          <w:p w14:paraId="682ED633" w14:textId="77777777" w:rsidR="001F2432" w:rsidRPr="00C84D41" w:rsidRDefault="001F2432" w:rsidP="005640B4">
            <w:pPr>
              <w:rPr>
                <w:rFonts w:ascii="Times New Roman" w:eastAsia="Times New Roman" w:hAnsi="Times New Roman" w:cs="Times New Roman"/>
                <w:color w:val="000000"/>
                <w:sz w:val="16"/>
                <w:szCs w:val="16"/>
              </w:rPr>
            </w:pPr>
          </w:p>
          <w:p w14:paraId="613E3DFF" w14:textId="28A66B9D" w:rsidR="001F2432" w:rsidRPr="00C84D41" w:rsidRDefault="001F2432" w:rsidP="005640B4">
            <w:pPr>
              <w:rPr>
                <w:rFonts w:ascii="Times New Roman" w:eastAsia="Times New Roman" w:hAnsi="Times New Roman" w:cs="Times New Roman"/>
                <w:color w:val="000000"/>
                <w:sz w:val="16"/>
                <w:szCs w:val="16"/>
              </w:rPr>
            </w:pPr>
          </w:p>
        </w:tc>
        <w:tc>
          <w:tcPr>
            <w:tcW w:w="1876" w:type="dxa"/>
            <w:shd w:val="clear" w:color="auto" w:fill="auto"/>
            <w:hideMark/>
          </w:tcPr>
          <w:p w14:paraId="4C4E06E9"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lastRenderedPageBreak/>
              <w:t>Each country has received</w:t>
            </w:r>
          </w:p>
          <w:p w14:paraId="686C03DD"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significant and useful technical</w:t>
            </w:r>
          </w:p>
          <w:p w14:paraId="2BDD392D" w14:textId="12DD32B8" w:rsidR="00817531" w:rsidRPr="00452CD2"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support.</w:t>
            </w:r>
          </w:p>
        </w:tc>
      </w:tr>
      <w:tr w:rsidR="00EC6A96" w:rsidRPr="00452CD2" w14:paraId="446543F1" w14:textId="77777777" w:rsidTr="00992A06">
        <w:trPr>
          <w:trHeight w:val="8471"/>
        </w:trPr>
        <w:tc>
          <w:tcPr>
            <w:tcW w:w="1629" w:type="dxa"/>
            <w:shd w:val="clear" w:color="D6E3BC" w:fill="D6E3BC"/>
            <w:hideMark/>
          </w:tcPr>
          <w:p w14:paraId="6F664B67" w14:textId="77777777" w:rsidR="00EC6A96" w:rsidRPr="00EC6A96" w:rsidRDefault="00EC6A96" w:rsidP="00EC6A96">
            <w:pPr>
              <w:jc w:val="both"/>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lastRenderedPageBreak/>
              <w:t>Outcome 1:</w:t>
            </w:r>
            <w:r w:rsidRPr="00452CD2">
              <w:rPr>
                <w:rFonts w:ascii="Times New Roman" w:eastAsia="Times New Roman" w:hAnsi="Times New Roman" w:cs="Times New Roman"/>
                <w:b/>
                <w:bCs/>
                <w:color w:val="000000"/>
                <w:sz w:val="16"/>
                <w:szCs w:val="16"/>
              </w:rPr>
              <w:br/>
            </w:r>
            <w:r w:rsidRPr="00C7595B">
              <w:rPr>
                <w:rFonts w:ascii="Times New Roman" w:eastAsia="Times New Roman" w:hAnsi="Times New Roman" w:cs="Times New Roman"/>
                <w:b/>
                <w:bCs/>
                <w:color w:val="000000"/>
                <w:sz w:val="16"/>
                <w:szCs w:val="16"/>
              </w:rPr>
              <w:t>Enhanced capacity to</w:t>
            </w:r>
            <w:r>
              <w:rPr>
                <w:rFonts w:ascii="Times New Roman" w:eastAsia="Times New Roman" w:hAnsi="Times New Roman" w:cs="Times New Roman"/>
                <w:b/>
                <w:bCs/>
                <w:color w:val="000000"/>
                <w:sz w:val="16"/>
                <w:szCs w:val="16"/>
              </w:rPr>
              <w:t xml:space="preserve"> </w:t>
            </w:r>
            <w:r w:rsidRPr="00C7595B">
              <w:rPr>
                <w:rFonts w:ascii="Times New Roman" w:eastAsia="Times New Roman" w:hAnsi="Times New Roman" w:cs="Times New Roman"/>
                <w:b/>
                <w:bCs/>
                <w:color w:val="000000"/>
                <w:sz w:val="16"/>
                <w:szCs w:val="16"/>
              </w:rPr>
              <w:t>monitor and forecast</w:t>
            </w:r>
            <w:r>
              <w:rPr>
                <w:rFonts w:ascii="Times New Roman" w:eastAsia="Times New Roman" w:hAnsi="Times New Roman" w:cs="Times New Roman"/>
                <w:b/>
                <w:bCs/>
                <w:color w:val="000000"/>
                <w:sz w:val="16"/>
                <w:szCs w:val="16"/>
              </w:rPr>
              <w:t xml:space="preserve"> </w:t>
            </w:r>
            <w:r w:rsidRPr="00EC6A96">
              <w:rPr>
                <w:rFonts w:ascii="Times New Roman" w:eastAsia="Times New Roman" w:hAnsi="Times New Roman" w:cs="Times New Roman"/>
                <w:b/>
                <w:bCs/>
                <w:color w:val="000000"/>
                <w:sz w:val="16"/>
                <w:szCs w:val="16"/>
              </w:rPr>
              <w:t>extreme weather,</w:t>
            </w:r>
          </w:p>
          <w:p w14:paraId="4267A1CF" w14:textId="77777777" w:rsidR="00EC6A96" w:rsidRPr="00EC6A96" w:rsidRDefault="00EC6A96" w:rsidP="00EC6A96">
            <w:pPr>
              <w:jc w:val="both"/>
              <w:rPr>
                <w:rFonts w:ascii="Times New Roman" w:eastAsia="Times New Roman" w:hAnsi="Times New Roman" w:cs="Times New Roman"/>
                <w:b/>
                <w:bCs/>
                <w:color w:val="000000"/>
                <w:sz w:val="16"/>
                <w:szCs w:val="16"/>
              </w:rPr>
            </w:pPr>
            <w:r w:rsidRPr="00EC6A96">
              <w:rPr>
                <w:rFonts w:ascii="Times New Roman" w:eastAsia="Times New Roman" w:hAnsi="Times New Roman" w:cs="Times New Roman"/>
                <w:b/>
                <w:bCs/>
                <w:color w:val="000000"/>
                <w:sz w:val="16"/>
                <w:szCs w:val="16"/>
              </w:rPr>
              <w:t>hydrology and climate</w:t>
            </w:r>
          </w:p>
          <w:p w14:paraId="337CAF7D" w14:textId="1CB7518D" w:rsidR="00EC6A96" w:rsidRPr="00452CD2" w:rsidRDefault="00EC6A96" w:rsidP="00EC6A96">
            <w:pPr>
              <w:jc w:val="both"/>
              <w:rPr>
                <w:rFonts w:ascii="Times New Roman" w:eastAsia="Times New Roman" w:hAnsi="Times New Roman" w:cs="Times New Roman"/>
                <w:b/>
                <w:bCs/>
                <w:color w:val="000000"/>
                <w:sz w:val="16"/>
                <w:szCs w:val="16"/>
              </w:rPr>
            </w:pPr>
            <w:r w:rsidRPr="00EC6A96">
              <w:rPr>
                <w:rFonts w:ascii="Times New Roman" w:eastAsia="Times New Roman" w:hAnsi="Times New Roman" w:cs="Times New Roman"/>
                <w:b/>
                <w:bCs/>
                <w:color w:val="000000"/>
                <w:sz w:val="16"/>
                <w:szCs w:val="16"/>
              </w:rPr>
              <w:t>change</w:t>
            </w:r>
          </w:p>
        </w:tc>
        <w:tc>
          <w:tcPr>
            <w:tcW w:w="2408" w:type="dxa"/>
            <w:shd w:val="clear" w:color="FFFFFF" w:fill="FFFFFF"/>
            <w:hideMark/>
          </w:tcPr>
          <w:p w14:paraId="51652088" w14:textId="2C76FBAE" w:rsidR="00EC6A96" w:rsidRPr="00452CD2" w:rsidRDefault="00EC6A96" w:rsidP="00EC6A96">
            <w:pPr>
              <w:jc w:val="both"/>
              <w:rPr>
                <w:rFonts w:ascii="Times New Roman" w:eastAsia="Times New Roman" w:hAnsi="Times New Roman" w:cs="Times New Roman"/>
                <w:color w:val="000000"/>
                <w:sz w:val="16"/>
                <w:szCs w:val="16"/>
              </w:rPr>
            </w:pPr>
            <w:r w:rsidRPr="00452CD2">
              <w:rPr>
                <w:rFonts w:ascii="Times New Roman" w:eastAsia="Times New Roman" w:hAnsi="Times New Roman" w:cs="Times New Roman"/>
                <w:color w:val="000000"/>
                <w:sz w:val="16"/>
                <w:szCs w:val="16"/>
              </w:rPr>
              <w:t xml:space="preserve">1. </w:t>
            </w:r>
            <w:r w:rsidRPr="00EC6A96">
              <w:rPr>
                <w:rFonts w:ascii="Times New Roman" w:eastAsia="Times New Roman" w:hAnsi="Times New Roman" w:cs="Times New Roman"/>
                <w:color w:val="000000"/>
                <w:sz w:val="16"/>
                <w:szCs w:val="16"/>
              </w:rPr>
              <w:t>Average percentage</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of national coverage</w:t>
            </w:r>
            <w:r>
              <w:rPr>
                <w:rFonts w:ascii="Times New Roman" w:eastAsia="Times New Roman" w:hAnsi="Times New Roman" w:cs="Times New Roman"/>
                <w:color w:val="000000"/>
                <w:sz w:val="16"/>
                <w:szCs w:val="16"/>
              </w:rPr>
              <w:t xml:space="preserve"> of </w:t>
            </w:r>
            <w:r w:rsidRPr="00EC6A96">
              <w:rPr>
                <w:rFonts w:ascii="Times New Roman" w:eastAsia="Times New Roman" w:hAnsi="Times New Roman" w:cs="Times New Roman"/>
                <w:color w:val="000000"/>
                <w:sz w:val="16"/>
                <w:szCs w:val="16"/>
              </w:rPr>
              <w:t xml:space="preserve"> weather/climate</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and hydrological</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monitoring</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infrastructure across</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all countries</w:t>
            </w:r>
          </w:p>
        </w:tc>
        <w:tc>
          <w:tcPr>
            <w:tcW w:w="3073" w:type="dxa"/>
            <w:shd w:val="clear" w:color="auto" w:fill="auto"/>
            <w:hideMark/>
          </w:tcPr>
          <w:p w14:paraId="38F89097" w14:textId="77777777" w:rsidR="00EC6A96" w:rsidRPr="00EC6A96" w:rsidRDefault="00EC6A96" w:rsidP="00EC6A96">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Average percentage </w:t>
            </w:r>
            <w:r w:rsidRPr="00EC6A96">
              <w:rPr>
                <w:rFonts w:ascii="Times New Roman" w:eastAsia="Times New Roman" w:hAnsi="Times New Roman" w:cs="Times New Roman"/>
                <w:color w:val="000000"/>
                <w:sz w:val="16"/>
                <w:szCs w:val="16"/>
              </w:rPr>
              <w:t>national coverage of</w:t>
            </w:r>
          </w:p>
          <w:p w14:paraId="2F9DDE3E" w14:textId="3E19D113" w:rsidR="00EC6A96" w:rsidRPr="00452CD2"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weather/climate and</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hydrological</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monitoring network</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at the beginning of</w:t>
            </w:r>
            <w:r>
              <w:rPr>
                <w:rFonts w:ascii="Times New Roman" w:eastAsia="Times New Roman" w:hAnsi="Times New Roman" w:cs="Times New Roman"/>
                <w:color w:val="000000"/>
                <w:sz w:val="16"/>
                <w:szCs w:val="16"/>
              </w:rPr>
              <w:t xml:space="preserve"> </w:t>
            </w:r>
            <w:r w:rsidRPr="00EC6A96">
              <w:rPr>
                <w:rFonts w:ascii="Times New Roman" w:eastAsia="Times New Roman" w:hAnsi="Times New Roman" w:cs="Times New Roman"/>
                <w:color w:val="000000"/>
                <w:sz w:val="16"/>
                <w:szCs w:val="16"/>
              </w:rPr>
              <w:t>the project</w:t>
            </w:r>
          </w:p>
        </w:tc>
        <w:tc>
          <w:tcPr>
            <w:tcW w:w="4874" w:type="dxa"/>
            <w:shd w:val="clear" w:color="000000" w:fill="FFFFFF"/>
            <w:hideMark/>
          </w:tcPr>
          <w:p w14:paraId="38470D70" w14:textId="77777777" w:rsidR="00EC6A96" w:rsidRDefault="001F2432" w:rsidP="00817531">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National project PIRs indicate an improvement in coverage across all 11 country partners. </w:t>
            </w:r>
          </w:p>
          <w:p w14:paraId="328C9921" w14:textId="77777777" w:rsidR="009301EE" w:rsidRDefault="009301EE" w:rsidP="00817531">
            <w:pPr>
              <w:jc w:val="both"/>
              <w:rPr>
                <w:rFonts w:ascii="Times New Roman" w:eastAsia="Times New Roman" w:hAnsi="Times New Roman" w:cs="Times New Roman"/>
                <w:sz w:val="16"/>
                <w:szCs w:val="16"/>
              </w:rPr>
            </w:pPr>
          </w:p>
          <w:p w14:paraId="6BE461C4" w14:textId="5E10A1B9" w:rsidR="004F1878" w:rsidRPr="00795C12" w:rsidRDefault="004F1878" w:rsidP="00795C12">
            <w:pPr>
              <w:pStyle w:val="ListParagraph"/>
              <w:numPr>
                <w:ilvl w:val="0"/>
                <w:numId w:val="5"/>
              </w:numPr>
              <w:ind w:left="360"/>
              <w:jc w:val="both"/>
              <w:rPr>
                <w:rFonts w:ascii="Times New Roman" w:eastAsia="Times New Roman" w:hAnsi="Times New Roman" w:cs="Times New Roman"/>
                <w:sz w:val="16"/>
                <w:szCs w:val="16"/>
              </w:rPr>
            </w:pPr>
            <w:r w:rsidRPr="00795C12">
              <w:rPr>
                <w:rFonts w:ascii="Times New Roman" w:eastAsia="Times New Roman" w:hAnsi="Times New Roman" w:cs="Times New Roman"/>
                <w:sz w:val="16"/>
                <w:szCs w:val="16"/>
              </w:rPr>
              <w:t xml:space="preserve">Benin: </w:t>
            </w:r>
            <w:r w:rsidR="005A6AE9" w:rsidRPr="00795C12">
              <w:rPr>
                <w:rFonts w:ascii="Times New Roman" w:eastAsia="Times New Roman" w:hAnsi="Times New Roman" w:cs="Times New Roman"/>
                <w:sz w:val="16"/>
                <w:szCs w:val="16"/>
              </w:rPr>
              <w:t>Specific target regarding coverage was not listed however national coverage is listed as expanding due to procured equipment</w:t>
            </w:r>
          </w:p>
          <w:p w14:paraId="17CCCF77" w14:textId="77777777" w:rsidR="005A6AE9" w:rsidRDefault="005A6AE9" w:rsidP="00795C12">
            <w:pPr>
              <w:jc w:val="both"/>
              <w:rPr>
                <w:rFonts w:ascii="Times New Roman" w:eastAsia="Times New Roman" w:hAnsi="Times New Roman" w:cs="Times New Roman"/>
                <w:sz w:val="16"/>
                <w:szCs w:val="16"/>
              </w:rPr>
            </w:pPr>
          </w:p>
          <w:p w14:paraId="297C3453" w14:textId="7E85EB03" w:rsidR="00F95164" w:rsidRPr="00795C12" w:rsidRDefault="00F95164" w:rsidP="00795C12">
            <w:pPr>
              <w:pStyle w:val="ListParagraph"/>
              <w:numPr>
                <w:ilvl w:val="0"/>
                <w:numId w:val="5"/>
              </w:numPr>
              <w:ind w:left="360"/>
              <w:jc w:val="both"/>
              <w:rPr>
                <w:rFonts w:ascii="Times New Roman" w:eastAsia="Times New Roman" w:hAnsi="Times New Roman" w:cs="Times New Roman"/>
                <w:sz w:val="16"/>
                <w:szCs w:val="16"/>
              </w:rPr>
            </w:pPr>
            <w:r w:rsidRPr="00795C12">
              <w:rPr>
                <w:rFonts w:ascii="Times New Roman" w:eastAsia="Times New Roman" w:hAnsi="Times New Roman" w:cs="Times New Roman"/>
                <w:sz w:val="16"/>
                <w:szCs w:val="16"/>
              </w:rPr>
              <w:t>Burkina Faso: increase 100% NHMS optimal monitoring arrangement (baseline 25% and target was 75%)</w:t>
            </w:r>
          </w:p>
          <w:p w14:paraId="7295CE05" w14:textId="77777777" w:rsidR="00F95164" w:rsidRDefault="00F95164" w:rsidP="00795C12">
            <w:pPr>
              <w:jc w:val="both"/>
              <w:rPr>
                <w:rFonts w:ascii="Times New Roman" w:eastAsia="Times New Roman" w:hAnsi="Times New Roman" w:cs="Times New Roman"/>
                <w:sz w:val="16"/>
                <w:szCs w:val="16"/>
              </w:rPr>
            </w:pPr>
          </w:p>
          <w:p w14:paraId="55502A84" w14:textId="416D954E" w:rsidR="00A1498F" w:rsidRDefault="00A1498F"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Ethiopia: </w:t>
            </w:r>
            <w:r w:rsidR="00C03C3C">
              <w:rPr>
                <w:rFonts w:ascii="Times New Roman" w:eastAsia="Times New Roman" w:hAnsi="Times New Roman" w:cs="Times New Roman"/>
                <w:sz w:val="16"/>
                <w:szCs w:val="16"/>
              </w:rPr>
              <w:t>terminal evaluation listed achievement as moderately satisfactory with coverage increasing to 57% but not hitting target</w:t>
            </w:r>
          </w:p>
          <w:p w14:paraId="7F7BF6E5" w14:textId="77777777" w:rsidR="00A1498F" w:rsidRPr="00A1498F" w:rsidRDefault="00A1498F" w:rsidP="00A1498F">
            <w:pPr>
              <w:pStyle w:val="ListParagraph"/>
              <w:rPr>
                <w:rFonts w:ascii="Times New Roman" w:eastAsia="Times New Roman" w:hAnsi="Times New Roman" w:cs="Times New Roman"/>
                <w:sz w:val="16"/>
                <w:szCs w:val="16"/>
              </w:rPr>
            </w:pPr>
          </w:p>
          <w:p w14:paraId="264E0D85" w14:textId="5B0A9B22" w:rsidR="00A1498F" w:rsidRDefault="00A1498F"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Liberia: </w:t>
            </w:r>
            <w:r w:rsidR="00BA2ADF">
              <w:rPr>
                <w:rFonts w:ascii="Times New Roman" w:eastAsia="Times New Roman" w:hAnsi="Times New Roman" w:cs="Times New Roman"/>
                <w:sz w:val="16"/>
                <w:szCs w:val="16"/>
              </w:rPr>
              <w:t>Coverage percentage not listed however project procured and installed all of target equipment for coverage. In case of AWS it was 11 (target 9) stations. All hydro and met stations providing real time and continuous monitoring. Using CIRDA LTA an</w:t>
            </w:r>
            <w:r w:rsidR="00BA2ADF">
              <w:t xml:space="preserve"> </w:t>
            </w:r>
            <w:proofErr w:type="spellStart"/>
            <w:r w:rsidR="00BA2ADF" w:rsidRPr="00BA2ADF">
              <w:rPr>
                <w:rFonts w:ascii="Times New Roman" w:eastAsia="Times New Roman" w:hAnsi="Times New Roman" w:cs="Times New Roman"/>
                <w:sz w:val="16"/>
                <w:szCs w:val="16"/>
              </w:rPr>
              <w:t>an</w:t>
            </w:r>
            <w:proofErr w:type="spellEnd"/>
            <w:r w:rsidR="00BA2ADF" w:rsidRPr="00BA2ADF">
              <w:rPr>
                <w:rFonts w:ascii="Times New Roman" w:eastAsia="Times New Roman" w:hAnsi="Times New Roman" w:cs="Times New Roman"/>
                <w:sz w:val="16"/>
                <w:szCs w:val="16"/>
              </w:rPr>
              <w:t xml:space="preserve"> Integrated Water Resource Management System (IWRMS) for Liberia</w:t>
            </w:r>
            <w:r w:rsidR="00BA2ADF">
              <w:rPr>
                <w:rFonts w:ascii="Times New Roman" w:eastAsia="Times New Roman" w:hAnsi="Times New Roman" w:cs="Times New Roman"/>
                <w:sz w:val="16"/>
                <w:szCs w:val="16"/>
              </w:rPr>
              <w:t xml:space="preserve"> was established. </w:t>
            </w:r>
          </w:p>
          <w:p w14:paraId="1B6968E2" w14:textId="77777777" w:rsidR="00A1498F" w:rsidRPr="00A1498F" w:rsidRDefault="00A1498F" w:rsidP="00A1498F">
            <w:pPr>
              <w:pStyle w:val="ListParagraph"/>
              <w:rPr>
                <w:rFonts w:ascii="Times New Roman" w:eastAsia="Times New Roman" w:hAnsi="Times New Roman" w:cs="Times New Roman"/>
                <w:sz w:val="16"/>
                <w:szCs w:val="16"/>
              </w:rPr>
            </w:pPr>
          </w:p>
          <w:p w14:paraId="6992888C" w14:textId="5CB852D1" w:rsidR="00EA3ACB" w:rsidRDefault="00EA3ACB"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Malawi: </w:t>
            </w:r>
            <w:r w:rsidRPr="00EA3ACB">
              <w:rPr>
                <w:rFonts w:ascii="Times New Roman" w:eastAsia="Times New Roman" w:hAnsi="Times New Roman" w:cs="Times New Roman"/>
                <w:sz w:val="16"/>
                <w:szCs w:val="16"/>
              </w:rPr>
              <w:t>Installation of 10 automatic weather stations has increased the network coverage from 33% to 72%.  National coverage of operational surface manual hydrological stations with Department of Water Resources (DWR) has increased from a baseline of 52% at the start of the project to 65% and surface manual has increased from a baseline of 85% at project start to 90%.  National coverage of automatic hydrological stations has increased from a baseline of 19% to 60%.</w:t>
            </w:r>
          </w:p>
          <w:p w14:paraId="358D4EE8" w14:textId="36B3579B" w:rsidR="00EA3ACB" w:rsidRPr="00EA3ACB" w:rsidRDefault="00EA3ACB" w:rsidP="00EA3ACB">
            <w:pPr>
              <w:pStyle w:val="ListParagraph"/>
              <w:rPr>
                <w:rFonts w:ascii="Times New Roman" w:eastAsia="Times New Roman" w:hAnsi="Times New Roman" w:cs="Times New Roman"/>
                <w:sz w:val="16"/>
                <w:szCs w:val="16"/>
              </w:rPr>
            </w:pPr>
          </w:p>
          <w:p w14:paraId="18868A8E" w14:textId="2382BCD2" w:rsidR="00B178DC" w:rsidRPr="00795C12" w:rsidRDefault="00B178DC" w:rsidP="00795C12">
            <w:pPr>
              <w:pStyle w:val="ListParagraph"/>
              <w:numPr>
                <w:ilvl w:val="0"/>
                <w:numId w:val="5"/>
              </w:numPr>
              <w:ind w:left="360"/>
              <w:jc w:val="both"/>
              <w:rPr>
                <w:rFonts w:ascii="Times New Roman" w:eastAsia="Times New Roman" w:hAnsi="Times New Roman" w:cs="Times New Roman"/>
                <w:sz w:val="16"/>
                <w:szCs w:val="16"/>
              </w:rPr>
            </w:pPr>
            <w:r w:rsidRPr="00795C12">
              <w:rPr>
                <w:rFonts w:ascii="Times New Roman" w:eastAsia="Times New Roman" w:hAnsi="Times New Roman" w:cs="Times New Roman"/>
                <w:sz w:val="16"/>
                <w:szCs w:val="16"/>
              </w:rPr>
              <w:t>Sao Tome: increase to 60% (target) national coverage from baseline of 20%</w:t>
            </w:r>
          </w:p>
          <w:p w14:paraId="4240C973" w14:textId="77777777" w:rsidR="00B178DC" w:rsidRDefault="00B178DC" w:rsidP="00795C12">
            <w:pPr>
              <w:jc w:val="both"/>
              <w:rPr>
                <w:rFonts w:ascii="Times New Roman" w:eastAsia="Times New Roman" w:hAnsi="Times New Roman" w:cs="Times New Roman"/>
                <w:sz w:val="16"/>
                <w:szCs w:val="16"/>
              </w:rPr>
            </w:pPr>
          </w:p>
          <w:p w14:paraId="7E76B186" w14:textId="06145A8C" w:rsidR="009301EE" w:rsidRDefault="009301EE" w:rsidP="00795C12">
            <w:pPr>
              <w:pStyle w:val="ListParagraph"/>
              <w:numPr>
                <w:ilvl w:val="0"/>
                <w:numId w:val="5"/>
              </w:numPr>
              <w:ind w:left="360"/>
              <w:jc w:val="both"/>
              <w:rPr>
                <w:rFonts w:ascii="Times New Roman" w:eastAsia="Times New Roman" w:hAnsi="Times New Roman" w:cs="Times New Roman"/>
                <w:sz w:val="16"/>
                <w:szCs w:val="16"/>
              </w:rPr>
            </w:pPr>
            <w:r w:rsidRPr="00795C12">
              <w:rPr>
                <w:rFonts w:ascii="Times New Roman" w:eastAsia="Times New Roman" w:hAnsi="Times New Roman" w:cs="Times New Roman"/>
                <w:sz w:val="16"/>
                <w:szCs w:val="16"/>
              </w:rPr>
              <w:t>Sierra Leone: Target has been achieved. The National coverage which was based on number of district has increased to 66% hitting the target of 60% as nine out of the then 12 districts have optimal monitoring arrangements. At baseline it was two district.</w:t>
            </w:r>
          </w:p>
          <w:p w14:paraId="6B3083E6" w14:textId="77777777" w:rsidR="00753478" w:rsidRPr="00EA3ACB" w:rsidRDefault="00753478" w:rsidP="00EA3ACB">
            <w:pPr>
              <w:rPr>
                <w:rFonts w:ascii="Times New Roman" w:eastAsia="Times New Roman" w:hAnsi="Times New Roman" w:cs="Times New Roman"/>
                <w:sz w:val="16"/>
                <w:szCs w:val="16"/>
              </w:rPr>
            </w:pPr>
          </w:p>
          <w:p w14:paraId="55E25339" w14:textId="484C3143" w:rsidR="00795C12" w:rsidRDefault="00795C12"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Tanzania reached </w:t>
            </w:r>
            <w:r w:rsidRPr="00795C12">
              <w:rPr>
                <w:rFonts w:ascii="Times New Roman" w:eastAsia="Times New Roman" w:hAnsi="Times New Roman" w:cs="Times New Roman"/>
                <w:sz w:val="16"/>
                <w:szCs w:val="16"/>
              </w:rPr>
              <w:t xml:space="preserve">75% </w:t>
            </w:r>
            <w:r>
              <w:rPr>
                <w:rFonts w:ascii="Times New Roman" w:eastAsia="Times New Roman" w:hAnsi="Times New Roman" w:cs="Times New Roman"/>
                <w:sz w:val="16"/>
                <w:szCs w:val="16"/>
              </w:rPr>
              <w:t xml:space="preserve">coverages </w:t>
            </w:r>
            <w:r w:rsidRPr="00795C12">
              <w:rPr>
                <w:rFonts w:ascii="Times New Roman" w:eastAsia="Times New Roman" w:hAnsi="Times New Roman" w:cs="Times New Roman"/>
                <w:sz w:val="16"/>
                <w:szCs w:val="16"/>
              </w:rPr>
              <w:t xml:space="preserve">of all national territory has been covered by an automated network, and the target has been met. </w:t>
            </w:r>
            <w:r>
              <w:rPr>
                <w:rFonts w:ascii="Times New Roman" w:eastAsia="Times New Roman" w:hAnsi="Times New Roman" w:cs="Times New Roman"/>
                <w:sz w:val="16"/>
                <w:szCs w:val="16"/>
              </w:rPr>
              <w:t>Baseline stood at 30%.</w:t>
            </w:r>
          </w:p>
          <w:p w14:paraId="4C968168" w14:textId="77777777" w:rsidR="00795C12" w:rsidRPr="00795C12" w:rsidRDefault="00795C12" w:rsidP="00795C12">
            <w:pPr>
              <w:pStyle w:val="ListParagraph"/>
              <w:rPr>
                <w:rFonts w:ascii="Times New Roman" w:eastAsia="Times New Roman" w:hAnsi="Times New Roman" w:cs="Times New Roman"/>
                <w:sz w:val="16"/>
                <w:szCs w:val="16"/>
              </w:rPr>
            </w:pPr>
          </w:p>
          <w:p w14:paraId="6A474E5F" w14:textId="71884540" w:rsidR="00795C12" w:rsidRDefault="003E740E"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Uganda: </w:t>
            </w:r>
            <w:r w:rsidRPr="003E740E">
              <w:rPr>
                <w:rFonts w:ascii="Times New Roman" w:eastAsia="Times New Roman" w:hAnsi="Times New Roman" w:cs="Times New Roman"/>
                <w:sz w:val="16"/>
                <w:szCs w:val="16"/>
              </w:rPr>
              <w:t xml:space="preserve">national coverage of the  operational weather stations has reached 47% (100% of project target). In terms of national coverage under 1.2,, 46% (52 out of the 112 districts in the country) have weather stations. And, under 1.3, the status of national coverage for rain gauges/manual stations has remained at 26%.  </w:t>
            </w:r>
            <w:r>
              <w:rPr>
                <w:rFonts w:ascii="Times New Roman" w:eastAsia="Times New Roman" w:hAnsi="Times New Roman" w:cs="Times New Roman"/>
                <w:sz w:val="16"/>
                <w:szCs w:val="16"/>
              </w:rPr>
              <w:t>(Baseline 10%, 9% and 1% respectively).</w:t>
            </w:r>
          </w:p>
          <w:p w14:paraId="030605FF" w14:textId="77777777" w:rsidR="003E740E" w:rsidRPr="003E740E" w:rsidRDefault="003E740E" w:rsidP="003E740E">
            <w:pPr>
              <w:pStyle w:val="ListParagraph"/>
              <w:rPr>
                <w:rFonts w:ascii="Times New Roman" w:eastAsia="Times New Roman" w:hAnsi="Times New Roman" w:cs="Times New Roman"/>
                <w:sz w:val="16"/>
                <w:szCs w:val="16"/>
              </w:rPr>
            </w:pPr>
          </w:p>
          <w:p w14:paraId="13D5901B" w14:textId="3849B1C4" w:rsidR="003E740E" w:rsidRPr="00795C12" w:rsidRDefault="00A1498F" w:rsidP="00795C12">
            <w:pPr>
              <w:pStyle w:val="ListParagraph"/>
              <w:numPr>
                <w:ilvl w:val="0"/>
                <w:numId w:val="5"/>
              </w:numPr>
              <w:ind w:left="36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Zambia: T</w:t>
            </w:r>
            <w:r w:rsidRPr="00A1498F">
              <w:rPr>
                <w:rFonts w:ascii="Times New Roman" w:eastAsia="Times New Roman" w:hAnsi="Times New Roman" w:cs="Times New Roman"/>
                <w:sz w:val="16"/>
                <w:szCs w:val="16"/>
              </w:rPr>
              <w:t xml:space="preserve">he project has been able to deliver on its targets on the provision of 28 AWS equivalent to 39% of the districts against the target 29%, contributing a total of 41% of the country’s total AWS </w:t>
            </w:r>
            <w:r w:rsidRPr="00A1498F">
              <w:rPr>
                <w:rFonts w:ascii="Times New Roman" w:eastAsia="Times New Roman" w:hAnsi="Times New Roman" w:cs="Times New Roman"/>
                <w:sz w:val="16"/>
                <w:szCs w:val="16"/>
              </w:rPr>
              <w:lastRenderedPageBreak/>
              <w:t xml:space="preserve">network.  Further the project facilitated the rehabilitation of all 39 manual stations in the country representing 54% against 37% of the target. The network is fully functional and provides real time data since 2015 except for the </w:t>
            </w:r>
            <w:proofErr w:type="spellStart"/>
            <w:r w:rsidRPr="00A1498F">
              <w:rPr>
                <w:rFonts w:ascii="Times New Roman" w:eastAsia="Times New Roman" w:hAnsi="Times New Roman" w:cs="Times New Roman"/>
                <w:sz w:val="16"/>
                <w:szCs w:val="16"/>
              </w:rPr>
              <w:t>Kafulafuta</w:t>
            </w:r>
            <w:proofErr w:type="spellEnd"/>
            <w:r w:rsidRPr="00A1498F">
              <w:rPr>
                <w:rFonts w:ascii="Times New Roman" w:eastAsia="Times New Roman" w:hAnsi="Times New Roman" w:cs="Times New Roman"/>
                <w:sz w:val="16"/>
                <w:szCs w:val="16"/>
              </w:rPr>
              <w:t xml:space="preserve"> that was installed in early 2017. The increased network has resulted in ZMD producing timely and accurate weather and climate information which is disseminated nationally and internationally (See:  www.zmd.gov.zm).</w:t>
            </w:r>
          </w:p>
          <w:p w14:paraId="5663CC62" w14:textId="68CC3E16" w:rsidR="009301EE" w:rsidRPr="00452CD2" w:rsidRDefault="009301EE" w:rsidP="00817531">
            <w:pPr>
              <w:jc w:val="both"/>
              <w:rPr>
                <w:rFonts w:ascii="Times New Roman" w:eastAsia="Times New Roman" w:hAnsi="Times New Roman" w:cs="Times New Roman"/>
                <w:sz w:val="16"/>
                <w:szCs w:val="16"/>
              </w:rPr>
            </w:pPr>
          </w:p>
        </w:tc>
        <w:tc>
          <w:tcPr>
            <w:tcW w:w="1876" w:type="dxa"/>
            <w:shd w:val="clear" w:color="auto" w:fill="auto"/>
            <w:hideMark/>
          </w:tcPr>
          <w:p w14:paraId="0B1075F0"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lastRenderedPageBreak/>
              <w:t>Increase of at least 10% average</w:t>
            </w:r>
          </w:p>
          <w:p w14:paraId="4DA4BFF7" w14:textId="05D1AA15" w:rsidR="00EC6A96" w:rsidRPr="00452CD2"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national coverage of functional</w:t>
            </w:r>
            <w:r>
              <w:rPr>
                <w:rFonts w:ascii="Times New Roman" w:eastAsia="Times New Roman" w:hAnsi="Times New Roman" w:cs="Times New Roman"/>
                <w:color w:val="000000"/>
                <w:sz w:val="16"/>
                <w:szCs w:val="16"/>
              </w:rPr>
              <w:t xml:space="preserve"> CI/EWS system</w:t>
            </w:r>
          </w:p>
        </w:tc>
      </w:tr>
      <w:tr w:rsidR="00EC6A96" w:rsidRPr="00452CD2" w14:paraId="4026A830" w14:textId="77777777" w:rsidTr="00EC6A96">
        <w:trPr>
          <w:trHeight w:val="3310"/>
        </w:trPr>
        <w:tc>
          <w:tcPr>
            <w:tcW w:w="1629" w:type="dxa"/>
            <w:shd w:val="clear" w:color="D6E3BC" w:fill="D6E3BC"/>
            <w:vAlign w:val="center"/>
            <w:hideMark/>
          </w:tcPr>
          <w:p w14:paraId="3B991116" w14:textId="77777777" w:rsidR="00EC6A96" w:rsidRPr="00452CD2" w:rsidRDefault="00EC6A96" w:rsidP="00817531">
            <w:pPr>
              <w:rPr>
                <w:rFonts w:ascii="Times New Roman" w:eastAsia="Times New Roman" w:hAnsi="Times New Roman" w:cs="Times New Roman"/>
                <w:b/>
                <w:bCs/>
                <w:color w:val="000000"/>
                <w:sz w:val="16"/>
                <w:szCs w:val="16"/>
              </w:rPr>
            </w:pPr>
          </w:p>
        </w:tc>
        <w:tc>
          <w:tcPr>
            <w:tcW w:w="2408" w:type="dxa"/>
            <w:shd w:val="clear" w:color="FFFFFF" w:fill="FFFFFF"/>
            <w:hideMark/>
          </w:tcPr>
          <w:p w14:paraId="784E049C" w14:textId="57F504CA" w:rsidR="00EC6A96" w:rsidRPr="00EC6A96" w:rsidRDefault="00EC6A96" w:rsidP="00EC6A96">
            <w:pPr>
              <w:autoSpaceDE w:val="0"/>
              <w:autoSpaceDN w:val="0"/>
              <w:adjustRightInd w:val="0"/>
              <w:rPr>
                <w:rFonts w:ascii="Times New Roman" w:hAnsi="Times New Roman" w:cs="Times New Roman"/>
                <w:sz w:val="16"/>
                <w:szCs w:val="16"/>
              </w:rPr>
            </w:pPr>
            <w:r w:rsidRPr="00EC6A96">
              <w:rPr>
                <w:rFonts w:ascii="Times New Roman" w:hAnsi="Times New Roman" w:cs="Times New Roman"/>
                <w:sz w:val="16"/>
                <w:szCs w:val="16"/>
              </w:rPr>
              <w:t>2.Average frequency</w:t>
            </w:r>
          </w:p>
          <w:p w14:paraId="6413D1E0" w14:textId="77777777" w:rsidR="00EC6A96" w:rsidRPr="00EC6A96" w:rsidRDefault="00EC6A96" w:rsidP="00EC6A96">
            <w:pPr>
              <w:autoSpaceDE w:val="0"/>
              <w:autoSpaceDN w:val="0"/>
              <w:adjustRightInd w:val="0"/>
              <w:rPr>
                <w:rFonts w:ascii="Times New Roman" w:hAnsi="Times New Roman" w:cs="Times New Roman"/>
                <w:sz w:val="16"/>
                <w:szCs w:val="16"/>
              </w:rPr>
            </w:pPr>
            <w:r w:rsidRPr="00EC6A96">
              <w:rPr>
                <w:rFonts w:ascii="Times New Roman" w:hAnsi="Times New Roman" w:cs="Times New Roman"/>
                <w:sz w:val="16"/>
                <w:szCs w:val="16"/>
              </w:rPr>
              <w:t>and timeliness of</w:t>
            </w:r>
          </w:p>
          <w:p w14:paraId="67676C4B" w14:textId="77777777" w:rsidR="00EC6A96" w:rsidRPr="00EC6A96" w:rsidRDefault="00EC6A96" w:rsidP="00EC6A96">
            <w:pPr>
              <w:autoSpaceDE w:val="0"/>
              <w:autoSpaceDN w:val="0"/>
              <w:adjustRightInd w:val="0"/>
              <w:rPr>
                <w:rFonts w:ascii="Times New Roman" w:hAnsi="Times New Roman" w:cs="Times New Roman"/>
                <w:sz w:val="16"/>
                <w:szCs w:val="16"/>
              </w:rPr>
            </w:pPr>
            <w:r w:rsidRPr="00EC6A96">
              <w:rPr>
                <w:rFonts w:ascii="Times New Roman" w:hAnsi="Times New Roman" w:cs="Times New Roman"/>
                <w:sz w:val="16"/>
                <w:szCs w:val="16"/>
              </w:rPr>
              <w:t>climate-related data</w:t>
            </w:r>
          </w:p>
          <w:p w14:paraId="7A315D6E" w14:textId="05B264FF"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hAnsi="Times New Roman" w:cs="Times New Roman"/>
                <w:sz w:val="16"/>
                <w:szCs w:val="16"/>
              </w:rPr>
              <w:t>availability</w:t>
            </w:r>
          </w:p>
        </w:tc>
        <w:tc>
          <w:tcPr>
            <w:tcW w:w="3073" w:type="dxa"/>
            <w:shd w:val="clear" w:color="auto" w:fill="auto"/>
            <w:hideMark/>
          </w:tcPr>
          <w:p w14:paraId="43B377B2"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Average frequency of data</w:t>
            </w:r>
          </w:p>
          <w:p w14:paraId="5703B4FD"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transmission and collection at the</w:t>
            </w:r>
          </w:p>
          <w:p w14:paraId="62F3B164" w14:textId="308B71EA" w:rsidR="00EC6A96" w:rsidRDefault="00EC6A96" w:rsidP="00EC6A96">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beginning</w:t>
            </w:r>
            <w:r w:rsidRPr="00EC6A96">
              <w:rPr>
                <w:rFonts w:ascii="Times New Roman" w:eastAsia="Times New Roman" w:hAnsi="Times New Roman" w:cs="Times New Roman"/>
                <w:color w:val="000000"/>
                <w:sz w:val="16"/>
                <w:szCs w:val="16"/>
              </w:rPr>
              <w:t xml:space="preserve"> of the project</w:t>
            </w:r>
            <w:r>
              <w:rPr>
                <w:rFonts w:ascii="Times New Roman" w:eastAsia="Times New Roman" w:hAnsi="Times New Roman" w:cs="Times New Roman"/>
                <w:color w:val="000000"/>
                <w:sz w:val="16"/>
                <w:szCs w:val="16"/>
              </w:rPr>
              <w:t>.</w:t>
            </w:r>
          </w:p>
          <w:p w14:paraId="52DA44CA" w14:textId="5AF77942" w:rsidR="00EC6A96" w:rsidRPr="00452CD2" w:rsidRDefault="00EC6A96" w:rsidP="00EC6A96">
            <w:pPr>
              <w:jc w:val="both"/>
              <w:rPr>
                <w:rFonts w:ascii="Times New Roman" w:eastAsia="Times New Roman" w:hAnsi="Times New Roman" w:cs="Times New Roman"/>
                <w:color w:val="000000"/>
                <w:sz w:val="16"/>
                <w:szCs w:val="16"/>
              </w:rPr>
            </w:pPr>
            <w:r w:rsidRPr="00452CD2">
              <w:rPr>
                <w:rFonts w:ascii="Times New Roman" w:eastAsia="Times New Roman" w:hAnsi="Times New Roman" w:cs="Times New Roman"/>
                <w:color w:val="000000"/>
                <w:sz w:val="16"/>
                <w:szCs w:val="16"/>
              </w:rPr>
              <w:br/>
            </w:r>
            <w:r w:rsidRPr="00452CD2">
              <w:rPr>
                <w:rFonts w:ascii="Times New Roman" w:eastAsia="Times New Roman" w:hAnsi="Times New Roman" w:cs="Times New Roman"/>
                <w:color w:val="000000"/>
                <w:sz w:val="16"/>
                <w:szCs w:val="16"/>
              </w:rPr>
              <w:br/>
              <w:t>.</w:t>
            </w:r>
          </w:p>
        </w:tc>
        <w:tc>
          <w:tcPr>
            <w:tcW w:w="4874" w:type="dxa"/>
            <w:shd w:val="clear" w:color="000000" w:fill="FFFFFF"/>
            <w:hideMark/>
          </w:tcPr>
          <w:p w14:paraId="091BE711" w14:textId="57B027F4" w:rsidR="001F2432" w:rsidRDefault="001F2432"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National project PIRs indicate an improvement in </w:t>
            </w:r>
            <w:r>
              <w:rPr>
                <w:rFonts w:ascii="Times New Roman" w:eastAsia="Times New Roman" w:hAnsi="Times New Roman" w:cs="Times New Roman"/>
                <w:sz w:val="16"/>
                <w:szCs w:val="16"/>
              </w:rPr>
              <w:t>transmission in all 11 partner countries</w:t>
            </w:r>
          </w:p>
          <w:p w14:paraId="410D7C93" w14:textId="622E6470" w:rsidR="005A6AE9" w:rsidRDefault="005A6AE9"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Benin: </w:t>
            </w:r>
            <w:r w:rsidR="00305C16" w:rsidRPr="00305C16">
              <w:rPr>
                <w:rFonts w:ascii="Times New Roman" w:eastAsia="Times New Roman" w:hAnsi="Times New Roman" w:cs="Times New Roman"/>
                <w:sz w:val="16"/>
                <w:szCs w:val="16"/>
              </w:rPr>
              <w:t>Water level of main rivers</w:t>
            </w:r>
            <w:r w:rsidR="00305C16">
              <w:rPr>
                <w:rFonts w:ascii="Times New Roman" w:eastAsia="Times New Roman" w:hAnsi="Times New Roman" w:cs="Times New Roman"/>
                <w:sz w:val="16"/>
                <w:szCs w:val="16"/>
              </w:rPr>
              <w:t xml:space="preserve"> is transmitted</w:t>
            </w:r>
            <w:r w:rsidR="00305C16" w:rsidRPr="00305C16">
              <w:rPr>
                <w:rFonts w:ascii="Times New Roman" w:eastAsia="Times New Roman" w:hAnsi="Times New Roman" w:cs="Times New Roman"/>
                <w:sz w:val="16"/>
                <w:szCs w:val="16"/>
              </w:rPr>
              <w:t xml:space="preserve"> daily tto EWS server a</w:t>
            </w:r>
            <w:r w:rsidR="00305C16">
              <w:rPr>
                <w:rFonts w:ascii="Times New Roman" w:eastAsia="Times New Roman" w:hAnsi="Times New Roman" w:cs="Times New Roman"/>
                <w:sz w:val="16"/>
                <w:szCs w:val="16"/>
              </w:rPr>
              <w:t>s per target (baseline monthly)</w:t>
            </w:r>
          </w:p>
          <w:p w14:paraId="390534CF" w14:textId="1BD632B2" w:rsidR="00F95164" w:rsidRDefault="00F95164"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Burkina Faso: Daily data transmission increased from baseline monthly</w:t>
            </w:r>
          </w:p>
          <w:p w14:paraId="75014EC3" w14:textId="13A4CF11" w:rsidR="00A1498F" w:rsidRDefault="00A1498F"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Ethiopia: </w:t>
            </w:r>
            <w:r w:rsidR="001F5DF3">
              <w:rPr>
                <w:rFonts w:ascii="Times New Roman" w:eastAsia="Times New Roman" w:hAnsi="Times New Roman" w:cs="Times New Roman"/>
                <w:sz w:val="16"/>
                <w:szCs w:val="16"/>
              </w:rPr>
              <w:t>every 15 mins (beyond daily target)</w:t>
            </w:r>
          </w:p>
          <w:p w14:paraId="1AFCBA96" w14:textId="1D88CEEE" w:rsidR="00A1498F" w:rsidRDefault="00A1498F"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Liberia: </w:t>
            </w:r>
            <w:r w:rsidR="00BA2ADF">
              <w:rPr>
                <w:rFonts w:ascii="Times New Roman" w:eastAsia="Times New Roman" w:hAnsi="Times New Roman" w:cs="Times New Roman"/>
                <w:sz w:val="16"/>
                <w:szCs w:val="16"/>
              </w:rPr>
              <w:t xml:space="preserve">Real time data is being provided with information from new station being continuously sent. </w:t>
            </w:r>
          </w:p>
          <w:p w14:paraId="3E06E2DE" w14:textId="4977FB9E" w:rsidR="00753478" w:rsidRDefault="00753478"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Malawi: </w:t>
            </w:r>
            <w:r w:rsidR="00EA3ACB" w:rsidRPr="00EA3ACB">
              <w:rPr>
                <w:rFonts w:ascii="Times New Roman" w:eastAsia="Times New Roman" w:hAnsi="Times New Roman" w:cs="Times New Roman"/>
                <w:sz w:val="16"/>
                <w:szCs w:val="16"/>
              </w:rPr>
              <w:t>The Department of Climate Change and Meteorological Services (DCCMS) is now making hourly Observation in all 58 AWS, 4 times observations in all 21 Conventional stations. The DCCMS is also able to make hourly Observation in all 63 AWS, 4 times observations in all 21 Conventional stations.</w:t>
            </w:r>
          </w:p>
          <w:p w14:paraId="3A6D8859" w14:textId="1556CD19" w:rsidR="00B178DC" w:rsidRDefault="00A042C9"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Sao Tome: Daily data transmission (target achieved)</w:t>
            </w:r>
            <w:r w:rsidR="00D80399">
              <w:rPr>
                <w:rFonts w:ascii="Times New Roman" w:eastAsia="Times New Roman" w:hAnsi="Times New Roman" w:cs="Times New Roman"/>
                <w:sz w:val="16"/>
                <w:szCs w:val="16"/>
              </w:rPr>
              <w:t xml:space="preserve"> done automatically every 15 mins. This has resulted in updated forecasting at 6 hour intervals. </w:t>
            </w:r>
          </w:p>
          <w:p w14:paraId="7C23F27D" w14:textId="5353164A" w:rsidR="009301EE" w:rsidRDefault="009301EE"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Sierra Leone: D</w:t>
            </w:r>
            <w:r w:rsidRPr="009301EE">
              <w:rPr>
                <w:rFonts w:ascii="Times New Roman" w:eastAsia="Times New Roman" w:hAnsi="Times New Roman" w:cs="Times New Roman"/>
                <w:sz w:val="16"/>
                <w:szCs w:val="16"/>
              </w:rPr>
              <w:t>aily data transmission frequency now in operation</w:t>
            </w:r>
            <w:r>
              <w:rPr>
                <w:rFonts w:ascii="Times New Roman" w:eastAsia="Times New Roman" w:hAnsi="Times New Roman" w:cs="Times New Roman"/>
                <w:sz w:val="16"/>
                <w:szCs w:val="16"/>
              </w:rPr>
              <w:t xml:space="preserve"> in comparison to monthly transmission at baseline. </w:t>
            </w:r>
          </w:p>
          <w:p w14:paraId="358AFE15" w14:textId="1EC3E6AF" w:rsidR="00795C12" w:rsidRDefault="00795C12"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Tanzania: </w:t>
            </w:r>
            <w:r w:rsidRPr="00795C12">
              <w:rPr>
                <w:rFonts w:ascii="Times New Roman" w:eastAsia="Times New Roman" w:hAnsi="Times New Roman" w:cs="Times New Roman"/>
                <w:sz w:val="16"/>
                <w:szCs w:val="16"/>
              </w:rPr>
              <w:t xml:space="preserve">stations are connected to server in Dar </w:t>
            </w:r>
            <w:proofErr w:type="spellStart"/>
            <w:r w:rsidRPr="00795C12">
              <w:rPr>
                <w:rFonts w:ascii="Times New Roman" w:eastAsia="Times New Roman" w:hAnsi="Times New Roman" w:cs="Times New Roman"/>
                <w:sz w:val="16"/>
                <w:szCs w:val="16"/>
              </w:rPr>
              <w:t>es</w:t>
            </w:r>
            <w:proofErr w:type="spellEnd"/>
            <w:r w:rsidRPr="00795C12">
              <w:rPr>
                <w:rFonts w:ascii="Times New Roman" w:eastAsia="Times New Roman" w:hAnsi="Times New Roman" w:cs="Times New Roman"/>
                <w:sz w:val="16"/>
                <w:szCs w:val="16"/>
              </w:rPr>
              <w:t xml:space="preserve"> Salaam, Mtwara and Moshi and transmission of data to TMA is made after every one hour through GPRS system</w:t>
            </w:r>
            <w:r>
              <w:rPr>
                <w:rFonts w:ascii="Times New Roman" w:eastAsia="Times New Roman" w:hAnsi="Times New Roman" w:cs="Times New Roman"/>
                <w:sz w:val="16"/>
                <w:szCs w:val="16"/>
              </w:rPr>
              <w:t xml:space="preserve"> overreaching target. </w:t>
            </w:r>
          </w:p>
          <w:p w14:paraId="5C7587C9" w14:textId="23D80061" w:rsidR="003E740E" w:rsidRDefault="003E740E"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Uganda: Information is being provided in real time. This has resulted in </w:t>
            </w:r>
            <w:r w:rsidRPr="003E740E">
              <w:rPr>
                <w:rFonts w:ascii="Times New Roman" w:eastAsia="Times New Roman" w:hAnsi="Times New Roman" w:cs="Times New Roman"/>
                <w:sz w:val="16"/>
                <w:szCs w:val="16"/>
              </w:rPr>
              <w:t>Seasonal forecasts have been provided with a lead time of one week</w:t>
            </w:r>
            <w:r>
              <w:rPr>
                <w:rFonts w:ascii="Times New Roman" w:eastAsia="Times New Roman" w:hAnsi="Times New Roman" w:cs="Times New Roman"/>
                <w:sz w:val="16"/>
                <w:szCs w:val="16"/>
              </w:rPr>
              <w:t xml:space="preserve">. </w:t>
            </w:r>
            <w:proofErr w:type="spellStart"/>
            <w:r w:rsidRPr="003E740E">
              <w:rPr>
                <w:rFonts w:ascii="Times New Roman" w:eastAsia="Times New Roman" w:hAnsi="Times New Roman" w:cs="Times New Roman"/>
                <w:sz w:val="16"/>
                <w:szCs w:val="16"/>
              </w:rPr>
              <w:t>Agro</w:t>
            </w:r>
            <w:proofErr w:type="spellEnd"/>
            <w:r w:rsidRPr="003E740E">
              <w:rPr>
                <w:rFonts w:ascii="Times New Roman" w:eastAsia="Times New Roman" w:hAnsi="Times New Roman" w:cs="Times New Roman"/>
                <w:sz w:val="16"/>
                <w:szCs w:val="16"/>
              </w:rPr>
              <w:t>-met stations are giving reliable information for ten days (</w:t>
            </w:r>
            <w:proofErr w:type="spellStart"/>
            <w:r w:rsidRPr="003E740E">
              <w:rPr>
                <w:rFonts w:ascii="Times New Roman" w:eastAsia="Times New Roman" w:hAnsi="Times New Roman" w:cs="Times New Roman"/>
                <w:sz w:val="16"/>
                <w:szCs w:val="16"/>
              </w:rPr>
              <w:t>dekadal</w:t>
            </w:r>
            <w:proofErr w:type="spellEnd"/>
            <w:r w:rsidRPr="003E740E">
              <w:rPr>
                <w:rFonts w:ascii="Times New Roman" w:eastAsia="Times New Roman" w:hAnsi="Times New Roman" w:cs="Times New Roman"/>
                <w:sz w:val="16"/>
                <w:szCs w:val="16"/>
              </w:rPr>
              <w:t>) weather information as well as bi-weekly and monthly advisories.</w:t>
            </w:r>
          </w:p>
          <w:p w14:paraId="309349E7" w14:textId="1ED0AEE6" w:rsidR="00A1498F" w:rsidRDefault="00A1498F" w:rsidP="00817531">
            <w:pPr>
              <w:spacing w:after="2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Zambia: </w:t>
            </w:r>
            <w:r w:rsidR="004A0884">
              <w:rPr>
                <w:rFonts w:ascii="Times New Roman" w:eastAsia="Times New Roman" w:hAnsi="Times New Roman" w:cs="Times New Roman"/>
                <w:sz w:val="16"/>
                <w:szCs w:val="16"/>
              </w:rPr>
              <w:t>Real time data is provided online (see above indicator) baseline stood at daily recordings but integrated by ZMD with a larger time lag</w:t>
            </w:r>
          </w:p>
          <w:p w14:paraId="4D4668B1" w14:textId="77777777" w:rsidR="00795C12" w:rsidRDefault="00795C12" w:rsidP="00817531">
            <w:pPr>
              <w:spacing w:after="240"/>
              <w:jc w:val="both"/>
              <w:rPr>
                <w:rFonts w:ascii="Times New Roman" w:eastAsia="Times New Roman" w:hAnsi="Times New Roman" w:cs="Times New Roman"/>
                <w:sz w:val="16"/>
                <w:szCs w:val="16"/>
              </w:rPr>
            </w:pPr>
          </w:p>
          <w:p w14:paraId="1A8DCEBB" w14:textId="20B634FF" w:rsidR="00EC6A96" w:rsidRPr="00452CD2" w:rsidRDefault="001F2432" w:rsidP="00817531">
            <w:pPr>
              <w:spacing w:after="240"/>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w:t>
            </w:r>
            <w:r w:rsidR="00EC6A96" w:rsidRPr="00452CD2">
              <w:rPr>
                <w:rFonts w:ascii="Times New Roman" w:eastAsia="Times New Roman" w:hAnsi="Times New Roman" w:cs="Times New Roman"/>
                <w:color w:val="000000"/>
                <w:sz w:val="16"/>
                <w:szCs w:val="16"/>
              </w:rPr>
              <w:br/>
            </w:r>
          </w:p>
        </w:tc>
        <w:tc>
          <w:tcPr>
            <w:tcW w:w="1876" w:type="dxa"/>
            <w:shd w:val="clear" w:color="auto" w:fill="auto"/>
            <w:hideMark/>
          </w:tcPr>
          <w:p w14:paraId="26F40BB9"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Average frequency of data</w:t>
            </w:r>
          </w:p>
          <w:p w14:paraId="7B728202" w14:textId="77777777" w:rsidR="00EC6A96" w:rsidRP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transmission and collection at the</w:t>
            </w:r>
          </w:p>
          <w:p w14:paraId="72F283B4" w14:textId="77777777" w:rsidR="00EC6A96" w:rsidRDefault="00EC6A96" w:rsidP="00EC6A96">
            <w:pPr>
              <w:jc w:val="both"/>
              <w:rPr>
                <w:rFonts w:ascii="Times New Roman" w:eastAsia="Times New Roman" w:hAnsi="Times New Roman" w:cs="Times New Roman"/>
                <w:color w:val="000000"/>
                <w:sz w:val="16"/>
                <w:szCs w:val="16"/>
              </w:rPr>
            </w:pPr>
            <w:r w:rsidRPr="00EC6A96">
              <w:rPr>
                <w:rFonts w:ascii="Times New Roman" w:eastAsia="Times New Roman" w:hAnsi="Times New Roman" w:cs="Times New Roman"/>
                <w:color w:val="000000"/>
                <w:sz w:val="16"/>
                <w:szCs w:val="16"/>
              </w:rPr>
              <w:t>end of the project</w:t>
            </w:r>
            <w:r>
              <w:rPr>
                <w:rFonts w:ascii="Times New Roman" w:eastAsia="Times New Roman" w:hAnsi="Times New Roman" w:cs="Times New Roman"/>
                <w:color w:val="000000"/>
                <w:sz w:val="16"/>
                <w:szCs w:val="16"/>
              </w:rPr>
              <w:t>.</w:t>
            </w:r>
          </w:p>
          <w:p w14:paraId="4D408B23" w14:textId="2BC10546" w:rsidR="00EC6A96" w:rsidRPr="00452CD2" w:rsidRDefault="00EC6A96" w:rsidP="00817531">
            <w:pPr>
              <w:jc w:val="both"/>
              <w:rPr>
                <w:rFonts w:ascii="Times New Roman" w:eastAsia="Times New Roman" w:hAnsi="Times New Roman" w:cs="Times New Roman"/>
                <w:color w:val="000000"/>
                <w:sz w:val="16"/>
                <w:szCs w:val="16"/>
              </w:rPr>
            </w:pPr>
          </w:p>
        </w:tc>
      </w:tr>
      <w:tr w:rsidR="009333F9" w:rsidRPr="00452CD2" w14:paraId="2A559131" w14:textId="77777777" w:rsidTr="00B04E23">
        <w:trPr>
          <w:trHeight w:val="5584"/>
        </w:trPr>
        <w:tc>
          <w:tcPr>
            <w:tcW w:w="1629" w:type="dxa"/>
            <w:vMerge w:val="restart"/>
            <w:shd w:val="clear" w:color="D6E3BC" w:fill="D6E3BC"/>
            <w:hideMark/>
          </w:tcPr>
          <w:p w14:paraId="711FB7CC" w14:textId="4EC9942C" w:rsidR="009333F9" w:rsidRDefault="009333F9" w:rsidP="009333F9">
            <w:pPr>
              <w:jc w:val="both"/>
              <w:rPr>
                <w:rFonts w:ascii="Times New Roman" w:eastAsia="Times New Roman" w:hAnsi="Times New Roman" w:cs="Times New Roman"/>
                <w:b/>
                <w:bCs/>
                <w:color w:val="000000"/>
                <w:sz w:val="16"/>
                <w:szCs w:val="16"/>
              </w:rPr>
            </w:pPr>
            <w:r w:rsidRPr="00452CD2">
              <w:rPr>
                <w:rFonts w:ascii="Times New Roman" w:eastAsia="Times New Roman" w:hAnsi="Times New Roman" w:cs="Times New Roman"/>
                <w:b/>
                <w:bCs/>
                <w:color w:val="000000"/>
                <w:sz w:val="16"/>
                <w:szCs w:val="16"/>
              </w:rPr>
              <w:lastRenderedPageBreak/>
              <w:t>Outcome 2:</w:t>
            </w:r>
            <w:r w:rsidRPr="00452CD2">
              <w:rPr>
                <w:rFonts w:ascii="Times New Roman" w:eastAsia="Times New Roman" w:hAnsi="Times New Roman" w:cs="Times New Roman"/>
                <w:b/>
                <w:bCs/>
                <w:color w:val="000000"/>
                <w:sz w:val="16"/>
                <w:szCs w:val="16"/>
              </w:rPr>
              <w:br/>
            </w:r>
            <w:r w:rsidRPr="009333F9">
              <w:rPr>
                <w:rFonts w:ascii="Times New Roman" w:eastAsia="Times New Roman" w:hAnsi="Times New Roman" w:cs="Times New Roman"/>
                <w:b/>
                <w:bCs/>
                <w:color w:val="000000"/>
                <w:sz w:val="16"/>
                <w:szCs w:val="16"/>
              </w:rPr>
              <w:t>Efficient and</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effective</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use of hydrometeorological</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information for</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generating early</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warnings and</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supporting long</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term</w:t>
            </w:r>
            <w:r>
              <w:rPr>
                <w:rFonts w:ascii="Times New Roman" w:eastAsia="Times New Roman" w:hAnsi="Times New Roman" w:cs="Times New Roman"/>
                <w:b/>
                <w:bCs/>
                <w:color w:val="000000"/>
                <w:sz w:val="16"/>
                <w:szCs w:val="16"/>
              </w:rPr>
              <w:t xml:space="preserve"> </w:t>
            </w:r>
            <w:r w:rsidRPr="009333F9">
              <w:rPr>
                <w:rFonts w:ascii="Times New Roman" w:eastAsia="Times New Roman" w:hAnsi="Times New Roman" w:cs="Times New Roman"/>
                <w:b/>
                <w:bCs/>
                <w:color w:val="000000"/>
                <w:sz w:val="16"/>
                <w:szCs w:val="16"/>
              </w:rPr>
              <w:t>development plans</w:t>
            </w:r>
          </w:p>
          <w:p w14:paraId="4FA6B708" w14:textId="6D5BAD99" w:rsidR="009333F9" w:rsidRPr="00452CD2" w:rsidRDefault="009333F9" w:rsidP="009333F9">
            <w:pPr>
              <w:jc w:val="both"/>
              <w:rPr>
                <w:rFonts w:ascii="Times New Roman" w:eastAsia="Times New Roman" w:hAnsi="Times New Roman" w:cs="Times New Roman"/>
                <w:b/>
                <w:bCs/>
                <w:color w:val="000000"/>
                <w:sz w:val="16"/>
                <w:szCs w:val="16"/>
              </w:rPr>
            </w:pPr>
          </w:p>
        </w:tc>
        <w:tc>
          <w:tcPr>
            <w:tcW w:w="2408" w:type="dxa"/>
            <w:shd w:val="clear" w:color="FFFFFF" w:fill="FFFFFF"/>
            <w:hideMark/>
          </w:tcPr>
          <w:p w14:paraId="49C88BB7" w14:textId="60F3FA4E" w:rsidR="009333F9" w:rsidRPr="009333F9" w:rsidRDefault="009333F9" w:rsidP="009333F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w:t>
            </w:r>
            <w:r w:rsidRPr="009333F9">
              <w:rPr>
                <w:rFonts w:ascii="Times New Roman" w:eastAsia="Times New Roman" w:hAnsi="Times New Roman" w:cs="Times New Roman"/>
                <w:color w:val="000000"/>
                <w:sz w:val="16"/>
                <w:szCs w:val="16"/>
              </w:rPr>
              <w:t>Percentage of</w:t>
            </w:r>
            <w:r w:rsidRPr="009333F9">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population with</w:t>
            </w:r>
            <w:r w:rsidRPr="009333F9">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access to improved</w:t>
            </w:r>
            <w:r w:rsidRPr="009333F9">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climate information</w:t>
            </w:r>
            <w:r w:rsidRPr="009333F9">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and flood and drought</w:t>
            </w:r>
            <w:r w:rsidRPr="009333F9">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warnings</w:t>
            </w:r>
          </w:p>
        </w:tc>
        <w:tc>
          <w:tcPr>
            <w:tcW w:w="3073" w:type="dxa"/>
            <w:shd w:val="clear" w:color="auto" w:fill="auto"/>
            <w:hideMark/>
          </w:tcPr>
          <w:p w14:paraId="2DA4D535" w14:textId="02E7A840" w:rsidR="009333F9" w:rsidRPr="00452CD2" w:rsidRDefault="009333F9" w:rsidP="009333F9">
            <w:pPr>
              <w:jc w:val="both"/>
              <w:rPr>
                <w:rFonts w:ascii="Times New Roman" w:eastAsia="Times New Roman" w:hAnsi="Times New Roman" w:cs="Times New Roman"/>
                <w:color w:val="000000"/>
                <w:sz w:val="16"/>
                <w:szCs w:val="16"/>
              </w:rPr>
            </w:pPr>
            <w:r w:rsidRPr="009333F9">
              <w:rPr>
                <w:rFonts w:ascii="Times New Roman" w:eastAsia="Times New Roman" w:hAnsi="Times New Roman" w:cs="Times New Roman"/>
                <w:color w:val="000000"/>
                <w:sz w:val="16"/>
                <w:szCs w:val="16"/>
              </w:rPr>
              <w:t>Currently low</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levels of access to</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improved CI and</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drought/flood</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warnings</w:t>
            </w:r>
          </w:p>
        </w:tc>
        <w:tc>
          <w:tcPr>
            <w:tcW w:w="4874" w:type="dxa"/>
            <w:shd w:val="clear" w:color="000000" w:fill="FFFFFF"/>
            <w:hideMark/>
          </w:tcPr>
          <w:p w14:paraId="3EDB2CAC" w14:textId="615F4D7D" w:rsidR="009333F9" w:rsidRDefault="00F322ED"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National project final PIRs state: </w:t>
            </w:r>
          </w:p>
          <w:p w14:paraId="202C94D9" w14:textId="77777777" w:rsidR="00F322ED" w:rsidRDefault="00F322ED" w:rsidP="00817531">
            <w:pPr>
              <w:jc w:val="both"/>
              <w:rPr>
                <w:rFonts w:ascii="Times New Roman" w:eastAsia="Times New Roman" w:hAnsi="Times New Roman" w:cs="Times New Roman"/>
                <w:color w:val="000000"/>
                <w:sz w:val="16"/>
                <w:szCs w:val="16"/>
              </w:rPr>
            </w:pPr>
          </w:p>
          <w:p w14:paraId="4EC6B87B" w14:textId="38A62733" w:rsidR="00305C16" w:rsidRDefault="00305C16"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Benin- % increased not assessed however there is evidence cited in PIR and in terminal evaluation that target was reached due to targeted </w:t>
            </w:r>
            <w:proofErr w:type="spellStart"/>
            <w:r>
              <w:rPr>
                <w:rFonts w:ascii="Times New Roman" w:eastAsia="Times New Roman" w:hAnsi="Times New Roman" w:cs="Times New Roman"/>
                <w:color w:val="000000"/>
                <w:sz w:val="16"/>
                <w:szCs w:val="16"/>
              </w:rPr>
              <w:t>agro</w:t>
            </w:r>
            <w:proofErr w:type="spellEnd"/>
            <w:r>
              <w:rPr>
                <w:rFonts w:ascii="Times New Roman" w:eastAsia="Times New Roman" w:hAnsi="Times New Roman" w:cs="Times New Roman"/>
                <w:color w:val="000000"/>
                <w:sz w:val="16"/>
                <w:szCs w:val="16"/>
              </w:rPr>
              <w:t xml:space="preserve"> alerts, flooding EWS targeting all flood prone population and use of media such as radio and television alerts. </w:t>
            </w:r>
          </w:p>
          <w:p w14:paraId="593AB0DC" w14:textId="77777777" w:rsidR="00305C16" w:rsidRDefault="00305C16" w:rsidP="00817531">
            <w:pPr>
              <w:jc w:val="both"/>
              <w:rPr>
                <w:rFonts w:ascii="Times New Roman" w:eastAsia="Times New Roman" w:hAnsi="Times New Roman" w:cs="Times New Roman"/>
                <w:color w:val="000000"/>
                <w:sz w:val="16"/>
                <w:szCs w:val="16"/>
              </w:rPr>
            </w:pPr>
          </w:p>
          <w:p w14:paraId="1D7ACFF5" w14:textId="2C47480E" w:rsidR="00F95164" w:rsidRDefault="00F95164"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Burkina Faso: increased to 50% (target) from baseline (5% women and 10% men)</w:t>
            </w:r>
          </w:p>
          <w:p w14:paraId="43030F45" w14:textId="3EB0B154" w:rsidR="00F95164" w:rsidRDefault="00F95164" w:rsidP="00817531">
            <w:pPr>
              <w:jc w:val="both"/>
              <w:rPr>
                <w:rFonts w:ascii="Times New Roman" w:eastAsia="Times New Roman" w:hAnsi="Times New Roman" w:cs="Times New Roman"/>
                <w:color w:val="000000"/>
                <w:sz w:val="16"/>
                <w:szCs w:val="16"/>
              </w:rPr>
            </w:pPr>
          </w:p>
          <w:p w14:paraId="1B8FAEF9" w14:textId="1D4D0462" w:rsidR="00A1498F" w:rsidRDefault="00A1498F"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Ethiopia: </w:t>
            </w:r>
            <w:r w:rsidR="00C65D6F">
              <w:rPr>
                <w:rFonts w:ascii="Times New Roman" w:eastAsia="Times New Roman" w:hAnsi="Times New Roman" w:cs="Times New Roman"/>
                <w:color w:val="000000"/>
                <w:sz w:val="16"/>
                <w:szCs w:val="16"/>
              </w:rPr>
              <w:t xml:space="preserve">terminal evaluation listed as moderately satisfactory with increased overage but not monitored consistently to have percentage </w:t>
            </w:r>
          </w:p>
          <w:p w14:paraId="543743E8" w14:textId="77777777" w:rsidR="00A1498F" w:rsidRDefault="00A1498F" w:rsidP="00817531">
            <w:pPr>
              <w:jc w:val="both"/>
              <w:rPr>
                <w:rFonts w:ascii="Times New Roman" w:eastAsia="Times New Roman" w:hAnsi="Times New Roman" w:cs="Times New Roman"/>
                <w:color w:val="000000"/>
                <w:sz w:val="16"/>
                <w:szCs w:val="16"/>
              </w:rPr>
            </w:pPr>
          </w:p>
          <w:p w14:paraId="5FEA682D" w14:textId="3D0720C6" w:rsidR="00A1498F" w:rsidRDefault="00A1498F"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Liberia: </w:t>
            </w:r>
            <w:r w:rsidR="00BA2ADF" w:rsidRPr="00BA2ADF">
              <w:rPr>
                <w:rFonts w:ascii="Times New Roman" w:eastAsia="Times New Roman" w:hAnsi="Times New Roman" w:cs="Times New Roman"/>
                <w:color w:val="000000"/>
                <w:sz w:val="16"/>
                <w:szCs w:val="16"/>
              </w:rPr>
              <w:t>an Integrated Water Resource Management System (IWRMS) for Liberia</w:t>
            </w:r>
            <w:r w:rsidR="00BA2ADF">
              <w:rPr>
                <w:rFonts w:ascii="Times New Roman" w:eastAsia="Times New Roman" w:hAnsi="Times New Roman" w:cs="Times New Roman"/>
                <w:color w:val="000000"/>
                <w:sz w:val="16"/>
                <w:szCs w:val="16"/>
              </w:rPr>
              <w:t xml:space="preserve"> has been established for general use. </w:t>
            </w:r>
            <w:proofErr w:type="spellStart"/>
            <w:r w:rsidR="00BA2ADF">
              <w:rPr>
                <w:rFonts w:ascii="Times New Roman" w:eastAsia="Times New Roman" w:hAnsi="Times New Roman" w:cs="Times New Roman"/>
                <w:color w:val="000000"/>
                <w:sz w:val="16"/>
                <w:szCs w:val="16"/>
              </w:rPr>
              <w:t>Furhter</w:t>
            </w:r>
            <w:proofErr w:type="spellEnd"/>
            <w:r w:rsidR="00BA2ADF">
              <w:rPr>
                <w:rFonts w:ascii="Times New Roman" w:eastAsia="Times New Roman" w:hAnsi="Times New Roman" w:cs="Times New Roman"/>
                <w:color w:val="000000"/>
                <w:sz w:val="16"/>
                <w:szCs w:val="16"/>
              </w:rPr>
              <w:t xml:space="preserve">, </w:t>
            </w:r>
            <w:r w:rsidR="00BA2ADF" w:rsidRPr="00BA2ADF">
              <w:rPr>
                <w:rFonts w:ascii="Times New Roman" w:eastAsia="Times New Roman" w:hAnsi="Times New Roman" w:cs="Times New Roman"/>
                <w:color w:val="000000"/>
                <w:sz w:val="16"/>
                <w:szCs w:val="16"/>
              </w:rPr>
              <w:t>A new weather website has been developed and was launched on July 22, 2018. This website, hosted and managed by the Ministry of Transport, publishes weather information for public consumption.</w:t>
            </w:r>
          </w:p>
          <w:p w14:paraId="074FE0FD" w14:textId="77777777" w:rsidR="00A1498F" w:rsidRDefault="00A1498F" w:rsidP="00817531">
            <w:pPr>
              <w:jc w:val="both"/>
              <w:rPr>
                <w:rFonts w:ascii="Times New Roman" w:eastAsia="Times New Roman" w:hAnsi="Times New Roman" w:cs="Times New Roman"/>
                <w:color w:val="000000"/>
                <w:sz w:val="16"/>
                <w:szCs w:val="16"/>
              </w:rPr>
            </w:pPr>
          </w:p>
          <w:p w14:paraId="3502A10E" w14:textId="4B8F9F98" w:rsidR="00753478" w:rsidRDefault="00753478"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Malawi: </w:t>
            </w:r>
            <w:r w:rsidR="00EA3ACB" w:rsidRPr="00EA3ACB">
              <w:rPr>
                <w:rFonts w:ascii="Times New Roman" w:eastAsia="Times New Roman" w:hAnsi="Times New Roman" w:cs="Times New Roman"/>
                <w:color w:val="000000"/>
                <w:sz w:val="16"/>
                <w:szCs w:val="16"/>
              </w:rPr>
              <w:t>According to the  2017 comprehensive baseline study of early warning systems in Malawi, 42.74% of the population has access to improved climate information and warnings (7,265,800 people); 83.37% of  the population get warnings in time</w:t>
            </w:r>
            <w:r w:rsidR="00EA3ACB">
              <w:rPr>
                <w:rFonts w:ascii="Times New Roman" w:eastAsia="Times New Roman" w:hAnsi="Times New Roman" w:cs="Times New Roman"/>
                <w:color w:val="000000"/>
                <w:sz w:val="16"/>
                <w:szCs w:val="16"/>
              </w:rPr>
              <w:t xml:space="preserve"> (baseline 10%). Should be noted that not all of this achievement can be attributed to the CI/EWS project. </w:t>
            </w:r>
          </w:p>
          <w:p w14:paraId="63235771" w14:textId="77777777" w:rsidR="00753478" w:rsidRDefault="00753478" w:rsidP="00817531">
            <w:pPr>
              <w:jc w:val="both"/>
              <w:rPr>
                <w:rFonts w:ascii="Times New Roman" w:eastAsia="Times New Roman" w:hAnsi="Times New Roman" w:cs="Times New Roman"/>
                <w:color w:val="000000"/>
                <w:sz w:val="16"/>
                <w:szCs w:val="16"/>
              </w:rPr>
            </w:pPr>
          </w:p>
          <w:p w14:paraId="4981AFB7" w14:textId="636F043E" w:rsidR="00F322ED" w:rsidRDefault="00F322ED"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Sao Tome: </w:t>
            </w:r>
            <w:r w:rsidR="00B178DC" w:rsidRPr="00B178DC">
              <w:rPr>
                <w:rFonts w:ascii="Times New Roman" w:eastAsia="Times New Roman" w:hAnsi="Times New Roman" w:cs="Times New Roman"/>
                <w:color w:val="000000"/>
                <w:sz w:val="16"/>
                <w:szCs w:val="16"/>
              </w:rPr>
              <w:t>80% of the population with access to improved climate information and flood, drought, strong wind and coastal warning</w:t>
            </w:r>
            <w:r w:rsidR="00B178DC">
              <w:rPr>
                <w:rFonts w:ascii="Times New Roman" w:eastAsia="Times New Roman" w:hAnsi="Times New Roman" w:cs="Times New Roman"/>
                <w:color w:val="000000"/>
                <w:sz w:val="16"/>
                <w:szCs w:val="16"/>
              </w:rPr>
              <w:t xml:space="preserve"> (target 50% and baseline 30% men and 20% women)</w:t>
            </w:r>
          </w:p>
          <w:p w14:paraId="0BB60CE4" w14:textId="77777777" w:rsidR="00F322ED" w:rsidRDefault="00F322ED" w:rsidP="00817531">
            <w:pPr>
              <w:jc w:val="both"/>
              <w:rPr>
                <w:rFonts w:ascii="Times New Roman" w:eastAsia="Times New Roman" w:hAnsi="Times New Roman" w:cs="Times New Roman"/>
                <w:color w:val="000000"/>
                <w:sz w:val="16"/>
                <w:szCs w:val="16"/>
              </w:rPr>
            </w:pPr>
          </w:p>
          <w:p w14:paraId="5D351F4A" w14:textId="1B1EA83A" w:rsidR="009301EE" w:rsidRDefault="009301EE"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Sierra Leone: Target has been achieved with </w:t>
            </w:r>
            <w:r w:rsidRPr="009301EE">
              <w:rPr>
                <w:rFonts w:ascii="Times New Roman" w:eastAsia="Times New Roman" w:hAnsi="Times New Roman" w:cs="Times New Roman"/>
                <w:color w:val="000000"/>
                <w:sz w:val="16"/>
                <w:szCs w:val="16"/>
              </w:rPr>
              <w:t>50% men - 50% women currently accessing improved climate information is achieved</w:t>
            </w:r>
            <w:r>
              <w:rPr>
                <w:rFonts w:ascii="Times New Roman" w:eastAsia="Times New Roman" w:hAnsi="Times New Roman" w:cs="Times New Roman"/>
                <w:color w:val="000000"/>
                <w:sz w:val="16"/>
                <w:szCs w:val="16"/>
              </w:rPr>
              <w:t xml:space="preserve"> from a 0 baseline. </w:t>
            </w:r>
          </w:p>
          <w:p w14:paraId="1C97BA1A" w14:textId="77777777" w:rsidR="00795C12" w:rsidRDefault="00795C12" w:rsidP="00817531">
            <w:pPr>
              <w:jc w:val="both"/>
              <w:rPr>
                <w:rFonts w:ascii="Times New Roman" w:eastAsia="Times New Roman" w:hAnsi="Times New Roman" w:cs="Times New Roman"/>
                <w:color w:val="000000"/>
                <w:sz w:val="16"/>
                <w:szCs w:val="16"/>
              </w:rPr>
            </w:pPr>
          </w:p>
          <w:p w14:paraId="02286BCD" w14:textId="53E819B3" w:rsidR="00795C12" w:rsidRDefault="00795C12"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Tanzania: Over</w:t>
            </w:r>
            <w:r w:rsidRPr="00795C12">
              <w:rPr>
                <w:rFonts w:ascii="Times New Roman" w:eastAsia="Times New Roman" w:hAnsi="Times New Roman" w:cs="Times New Roman"/>
                <w:color w:val="000000"/>
                <w:sz w:val="16"/>
                <w:szCs w:val="16"/>
              </w:rPr>
              <w:t xml:space="preserve"> 70% of residents in the targeted areas benefited from improved climate information and early warnings</w:t>
            </w:r>
            <w:r>
              <w:rPr>
                <w:rFonts w:ascii="Times New Roman" w:eastAsia="Times New Roman" w:hAnsi="Times New Roman" w:cs="Times New Roman"/>
                <w:color w:val="000000"/>
                <w:sz w:val="16"/>
                <w:szCs w:val="16"/>
              </w:rPr>
              <w:t xml:space="preserve"> (baseline 30%)</w:t>
            </w:r>
          </w:p>
          <w:p w14:paraId="0A2EBD39" w14:textId="3E1DFB57" w:rsidR="003E740E" w:rsidRDefault="003E740E" w:rsidP="00817531">
            <w:pPr>
              <w:jc w:val="both"/>
              <w:rPr>
                <w:rFonts w:ascii="Times New Roman" w:eastAsia="Times New Roman" w:hAnsi="Times New Roman" w:cs="Times New Roman"/>
                <w:color w:val="000000"/>
                <w:sz w:val="16"/>
                <w:szCs w:val="16"/>
              </w:rPr>
            </w:pPr>
          </w:p>
          <w:p w14:paraId="1F4004F6" w14:textId="65BAE1F2" w:rsidR="003E740E" w:rsidRDefault="003E740E" w:rsidP="00817531">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Uganda: </w:t>
            </w:r>
            <w:r w:rsidRPr="003E740E">
              <w:rPr>
                <w:rFonts w:ascii="Times New Roman" w:eastAsia="Times New Roman" w:hAnsi="Times New Roman" w:cs="Times New Roman"/>
                <w:color w:val="000000"/>
                <w:sz w:val="16"/>
                <w:szCs w:val="16"/>
              </w:rPr>
              <w:t>About 10% (83.3% of target) of men and 8% (66.7% of target) of women now have access to weather and climate information nationwide. This represents an average of 75% achievement against the end of project target</w:t>
            </w:r>
            <w:r>
              <w:rPr>
                <w:rFonts w:ascii="Times New Roman" w:eastAsia="Times New Roman" w:hAnsi="Times New Roman" w:cs="Times New Roman"/>
                <w:color w:val="000000"/>
                <w:sz w:val="16"/>
                <w:szCs w:val="16"/>
              </w:rPr>
              <w:t xml:space="preserve"> (baseline was 3%)</w:t>
            </w:r>
          </w:p>
          <w:p w14:paraId="4D7AF248" w14:textId="00AD872E" w:rsidR="00A1498F" w:rsidRDefault="00A1498F" w:rsidP="00817531">
            <w:pPr>
              <w:jc w:val="both"/>
              <w:rPr>
                <w:rFonts w:ascii="Times New Roman" w:eastAsia="Times New Roman" w:hAnsi="Times New Roman" w:cs="Times New Roman"/>
                <w:color w:val="000000"/>
                <w:sz w:val="16"/>
                <w:szCs w:val="16"/>
              </w:rPr>
            </w:pPr>
          </w:p>
          <w:p w14:paraId="1C27AD14" w14:textId="5AD44145" w:rsidR="00A1498F" w:rsidRDefault="00A1498F" w:rsidP="004A0884">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Zambia: </w:t>
            </w:r>
            <w:r w:rsidR="004A0884" w:rsidRPr="004A0884">
              <w:rPr>
                <w:rFonts w:ascii="Times New Roman" w:eastAsia="Times New Roman" w:hAnsi="Times New Roman" w:cs="Times New Roman"/>
                <w:color w:val="000000"/>
                <w:sz w:val="16"/>
                <w:szCs w:val="16"/>
              </w:rPr>
              <w:t>100 % of men</w:t>
            </w:r>
            <w:r w:rsidR="004A0884">
              <w:rPr>
                <w:rFonts w:ascii="Times New Roman" w:eastAsia="Times New Roman" w:hAnsi="Times New Roman" w:cs="Times New Roman"/>
                <w:color w:val="000000"/>
                <w:sz w:val="16"/>
                <w:szCs w:val="16"/>
              </w:rPr>
              <w:t xml:space="preserve"> and</w:t>
            </w:r>
            <w:r w:rsidR="004A0884" w:rsidRPr="004A0884">
              <w:rPr>
                <w:rFonts w:ascii="Times New Roman" w:eastAsia="Times New Roman" w:hAnsi="Times New Roman" w:cs="Times New Roman"/>
                <w:color w:val="000000"/>
                <w:sz w:val="16"/>
                <w:szCs w:val="16"/>
              </w:rPr>
              <w:t xml:space="preserve"> 100 % of women</w:t>
            </w:r>
            <w:r w:rsidR="004A0884">
              <w:rPr>
                <w:rFonts w:ascii="Times New Roman" w:eastAsia="Times New Roman" w:hAnsi="Times New Roman" w:cs="Times New Roman"/>
                <w:color w:val="000000"/>
                <w:sz w:val="16"/>
                <w:szCs w:val="16"/>
              </w:rPr>
              <w:t xml:space="preserve"> in target areas from a 0% baseline. </w:t>
            </w:r>
          </w:p>
          <w:p w14:paraId="63EB5537" w14:textId="56310A20" w:rsidR="003E740E" w:rsidRDefault="003E740E" w:rsidP="00817531">
            <w:pPr>
              <w:jc w:val="both"/>
              <w:rPr>
                <w:rFonts w:ascii="Times New Roman" w:eastAsia="Times New Roman" w:hAnsi="Times New Roman" w:cs="Times New Roman"/>
                <w:color w:val="000000"/>
                <w:sz w:val="16"/>
                <w:szCs w:val="16"/>
              </w:rPr>
            </w:pPr>
          </w:p>
          <w:p w14:paraId="325E6416" w14:textId="77777777" w:rsidR="003E740E" w:rsidRDefault="003E740E" w:rsidP="00817531">
            <w:pPr>
              <w:jc w:val="both"/>
              <w:rPr>
                <w:rFonts w:ascii="Times New Roman" w:eastAsia="Times New Roman" w:hAnsi="Times New Roman" w:cs="Times New Roman"/>
                <w:color w:val="000000"/>
                <w:sz w:val="16"/>
                <w:szCs w:val="16"/>
              </w:rPr>
            </w:pPr>
          </w:p>
          <w:p w14:paraId="55B1D531" w14:textId="224CACDE" w:rsidR="00795C12" w:rsidRDefault="00795C12" w:rsidP="00817531">
            <w:pPr>
              <w:jc w:val="both"/>
              <w:rPr>
                <w:rFonts w:ascii="Times New Roman" w:eastAsia="Times New Roman" w:hAnsi="Times New Roman" w:cs="Times New Roman"/>
                <w:color w:val="000000"/>
                <w:sz w:val="16"/>
                <w:szCs w:val="16"/>
              </w:rPr>
            </w:pPr>
          </w:p>
          <w:p w14:paraId="729081FC" w14:textId="77777777" w:rsidR="00795C12" w:rsidRDefault="00795C12" w:rsidP="00817531">
            <w:pPr>
              <w:jc w:val="both"/>
              <w:rPr>
                <w:rFonts w:ascii="Times New Roman" w:eastAsia="Times New Roman" w:hAnsi="Times New Roman" w:cs="Times New Roman"/>
                <w:color w:val="000000"/>
                <w:sz w:val="16"/>
                <w:szCs w:val="16"/>
              </w:rPr>
            </w:pPr>
          </w:p>
          <w:p w14:paraId="2794110C" w14:textId="677A6302" w:rsidR="009301EE" w:rsidRPr="00452CD2" w:rsidRDefault="009301EE" w:rsidP="00817531">
            <w:pPr>
              <w:jc w:val="both"/>
              <w:rPr>
                <w:rFonts w:ascii="Times New Roman" w:eastAsia="Times New Roman" w:hAnsi="Times New Roman" w:cs="Times New Roman"/>
                <w:color w:val="000000"/>
                <w:sz w:val="16"/>
                <w:szCs w:val="16"/>
              </w:rPr>
            </w:pPr>
          </w:p>
        </w:tc>
        <w:tc>
          <w:tcPr>
            <w:tcW w:w="1876" w:type="dxa"/>
            <w:shd w:val="clear" w:color="auto" w:fill="auto"/>
            <w:hideMark/>
          </w:tcPr>
          <w:p w14:paraId="1F82DABA" w14:textId="580B9292" w:rsidR="009333F9" w:rsidRPr="009333F9" w:rsidRDefault="009333F9" w:rsidP="009333F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Percentage increase in population</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who have access to improved</w:t>
            </w:r>
          </w:p>
          <w:p w14:paraId="765EB513" w14:textId="7A0DC438" w:rsidR="009333F9" w:rsidRPr="00452CD2" w:rsidRDefault="009333F9" w:rsidP="009333F9">
            <w:pPr>
              <w:jc w:val="both"/>
              <w:rPr>
                <w:rFonts w:ascii="Times New Roman" w:eastAsia="Times New Roman" w:hAnsi="Times New Roman" w:cs="Times New Roman"/>
                <w:color w:val="000000"/>
                <w:sz w:val="16"/>
                <w:szCs w:val="16"/>
              </w:rPr>
            </w:pPr>
            <w:r w:rsidRPr="009333F9">
              <w:rPr>
                <w:rFonts w:ascii="Times New Roman" w:eastAsia="Times New Roman" w:hAnsi="Times New Roman" w:cs="Times New Roman"/>
                <w:color w:val="000000"/>
                <w:sz w:val="16"/>
                <w:szCs w:val="16"/>
              </w:rPr>
              <w:t>EWS/CI</w:t>
            </w:r>
          </w:p>
        </w:tc>
      </w:tr>
      <w:tr w:rsidR="009333F9" w:rsidRPr="00452CD2" w14:paraId="5D3BACDD" w14:textId="77777777" w:rsidTr="009333F9">
        <w:trPr>
          <w:trHeight w:val="1888"/>
        </w:trPr>
        <w:tc>
          <w:tcPr>
            <w:tcW w:w="1629" w:type="dxa"/>
            <w:vMerge/>
            <w:vAlign w:val="center"/>
            <w:hideMark/>
          </w:tcPr>
          <w:p w14:paraId="4118C8BD" w14:textId="77777777" w:rsidR="009333F9" w:rsidRPr="00452CD2" w:rsidRDefault="009333F9" w:rsidP="00817531">
            <w:pPr>
              <w:rPr>
                <w:rFonts w:ascii="Times New Roman" w:eastAsia="Times New Roman" w:hAnsi="Times New Roman" w:cs="Times New Roman"/>
                <w:b/>
                <w:bCs/>
                <w:color w:val="000000"/>
                <w:sz w:val="16"/>
                <w:szCs w:val="16"/>
              </w:rPr>
            </w:pPr>
          </w:p>
        </w:tc>
        <w:tc>
          <w:tcPr>
            <w:tcW w:w="2408" w:type="dxa"/>
            <w:shd w:val="clear" w:color="auto" w:fill="auto"/>
            <w:hideMark/>
          </w:tcPr>
          <w:p w14:paraId="6ED9D2A0" w14:textId="5FCB574A" w:rsidR="009333F9" w:rsidRPr="00452CD2" w:rsidRDefault="009333F9" w:rsidP="009333F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 </w:t>
            </w:r>
            <w:r w:rsidRPr="009333F9">
              <w:rPr>
                <w:rFonts w:ascii="Times New Roman" w:eastAsia="Times New Roman" w:hAnsi="Times New Roman" w:cs="Times New Roman"/>
                <w:color w:val="000000"/>
                <w:sz w:val="16"/>
                <w:szCs w:val="16"/>
              </w:rPr>
              <w:t>Number of</w:t>
            </w:r>
            <w:r>
              <w:rPr>
                <w:rFonts w:ascii="Times New Roman" w:eastAsia="Times New Roman" w:hAnsi="Times New Roman" w:cs="Times New Roman"/>
                <w:color w:val="000000"/>
                <w:sz w:val="16"/>
                <w:szCs w:val="16"/>
              </w:rPr>
              <w:t xml:space="preserve"> d</w:t>
            </w:r>
            <w:r w:rsidRPr="009333F9">
              <w:rPr>
                <w:rFonts w:ascii="Times New Roman" w:eastAsia="Times New Roman" w:hAnsi="Times New Roman" w:cs="Times New Roman"/>
                <w:color w:val="000000"/>
                <w:sz w:val="16"/>
                <w:szCs w:val="16"/>
              </w:rPr>
              <w:t>evelopment</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frameworks that</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integrate climate</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information in their</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formulation</w:t>
            </w:r>
          </w:p>
        </w:tc>
        <w:tc>
          <w:tcPr>
            <w:tcW w:w="3073" w:type="dxa"/>
            <w:shd w:val="clear" w:color="auto" w:fill="auto"/>
            <w:hideMark/>
          </w:tcPr>
          <w:p w14:paraId="35722768" w14:textId="03016835" w:rsidR="009333F9" w:rsidRPr="00452CD2" w:rsidRDefault="009333F9" w:rsidP="009333F9">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w:t>
            </w:r>
            <w:r w:rsidRPr="009333F9">
              <w:rPr>
                <w:rFonts w:ascii="Times New Roman" w:eastAsia="Times New Roman" w:hAnsi="Times New Roman" w:cs="Times New Roman"/>
                <w:color w:val="000000"/>
                <w:sz w:val="16"/>
                <w:szCs w:val="16"/>
              </w:rPr>
              <w:t>urrently few</w:t>
            </w:r>
            <w:r>
              <w:rPr>
                <w:rFonts w:ascii="Times New Roman" w:eastAsia="Times New Roman" w:hAnsi="Times New Roman" w:cs="Times New Roman"/>
                <w:color w:val="000000"/>
                <w:sz w:val="16"/>
                <w:szCs w:val="16"/>
              </w:rPr>
              <w:t xml:space="preserve"> d</w:t>
            </w:r>
            <w:r w:rsidRPr="009333F9">
              <w:rPr>
                <w:rFonts w:ascii="Times New Roman" w:eastAsia="Times New Roman" w:hAnsi="Times New Roman" w:cs="Times New Roman"/>
                <w:color w:val="000000"/>
                <w:sz w:val="16"/>
                <w:szCs w:val="16"/>
              </w:rPr>
              <w:t>evelopment</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frameworks</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incorporate climate</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change information</w:t>
            </w:r>
          </w:p>
        </w:tc>
        <w:tc>
          <w:tcPr>
            <w:tcW w:w="4874" w:type="dxa"/>
            <w:shd w:val="clear" w:color="000000" w:fill="FFFFFF"/>
            <w:hideMark/>
          </w:tcPr>
          <w:p w14:paraId="50E1EBAC" w14:textId="6242DBC3" w:rsidR="00305C16" w:rsidRDefault="00305C16" w:rsidP="0081753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Benin- no information cited on this indicator</w:t>
            </w:r>
          </w:p>
          <w:p w14:paraId="39F5A520" w14:textId="77777777" w:rsidR="00305C16" w:rsidRDefault="00305C16" w:rsidP="00817531">
            <w:pPr>
              <w:rPr>
                <w:rFonts w:ascii="Times New Roman" w:eastAsia="Times New Roman" w:hAnsi="Times New Roman" w:cs="Times New Roman"/>
                <w:color w:val="000000"/>
                <w:sz w:val="16"/>
                <w:szCs w:val="16"/>
              </w:rPr>
            </w:pPr>
          </w:p>
          <w:p w14:paraId="7577BE77" w14:textId="1D8D68E3" w:rsidR="00F95164" w:rsidRDefault="00F95164" w:rsidP="00F95164">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Burkina Faso: </w:t>
            </w:r>
            <w:r w:rsidRPr="00F95164">
              <w:rPr>
                <w:rFonts w:ascii="Times New Roman" w:eastAsia="Times New Roman" w:hAnsi="Times New Roman" w:cs="Times New Roman"/>
                <w:color w:val="000000"/>
                <w:sz w:val="16"/>
                <w:szCs w:val="16"/>
              </w:rPr>
              <w:t>2 of the PRSP policy briefs now incorporate analyses of risk maps and/or climate change projections influencing long-term planning proposals. These are the National Social and Economic Development Program (PNDES) and National Adaptation Plan – both of which take into account analyses of climate risk maps.</w:t>
            </w:r>
          </w:p>
          <w:p w14:paraId="54FD9F8F" w14:textId="29AEA78B" w:rsidR="00F95164" w:rsidRDefault="00F95164" w:rsidP="00817531">
            <w:pPr>
              <w:rPr>
                <w:rFonts w:ascii="Times New Roman" w:eastAsia="Times New Roman" w:hAnsi="Times New Roman" w:cs="Times New Roman"/>
                <w:color w:val="000000"/>
                <w:sz w:val="16"/>
                <w:szCs w:val="16"/>
              </w:rPr>
            </w:pPr>
          </w:p>
          <w:p w14:paraId="2C5E4CC0" w14:textId="246DCDE0" w:rsidR="00A1498F" w:rsidRDefault="00A1498F" w:rsidP="0081753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Ethiopia:</w:t>
            </w:r>
            <w:r w:rsidR="0018043A">
              <w:t xml:space="preserve"> </w:t>
            </w:r>
            <w:bookmarkStart w:id="0" w:name="_GoBack"/>
            <w:r w:rsidR="0018043A" w:rsidRPr="0018043A">
              <w:rPr>
                <w:rFonts w:ascii="Times New Roman" w:hAnsi="Times New Roman" w:cs="Times New Roman"/>
                <w:sz w:val="16"/>
                <w:szCs w:val="16"/>
              </w:rPr>
              <w:t xml:space="preserve">Listed in the TE as satisfactory with the </w:t>
            </w:r>
            <w:r w:rsidR="0018043A" w:rsidRPr="0018043A">
              <w:rPr>
                <w:rFonts w:ascii="Times New Roman" w:eastAsia="Times New Roman" w:hAnsi="Times New Roman" w:cs="Times New Roman"/>
                <w:color w:val="000000"/>
                <w:sz w:val="16"/>
                <w:szCs w:val="16"/>
              </w:rPr>
              <w:t xml:space="preserve">objective and outcome targets of the project have been incorporated in the pillars of </w:t>
            </w:r>
            <w:proofErr w:type="spellStart"/>
            <w:r w:rsidR="0018043A" w:rsidRPr="0018043A">
              <w:rPr>
                <w:rFonts w:ascii="Times New Roman" w:eastAsia="Times New Roman" w:hAnsi="Times New Roman" w:cs="Times New Roman"/>
                <w:color w:val="000000"/>
                <w:sz w:val="16"/>
                <w:szCs w:val="16"/>
              </w:rPr>
              <w:t>NMAandHWQD</w:t>
            </w:r>
            <w:proofErr w:type="spellEnd"/>
            <w:r w:rsidR="0018043A" w:rsidRPr="0018043A">
              <w:rPr>
                <w:rFonts w:ascii="Times New Roman" w:eastAsia="Times New Roman" w:hAnsi="Times New Roman" w:cs="Times New Roman"/>
                <w:color w:val="000000"/>
                <w:sz w:val="16"/>
                <w:szCs w:val="16"/>
              </w:rPr>
              <w:t xml:space="preserve"> sector-specific GTPs. NMAs </w:t>
            </w:r>
            <w:proofErr w:type="spellStart"/>
            <w:r w:rsidR="0018043A" w:rsidRPr="0018043A">
              <w:rPr>
                <w:rFonts w:ascii="Times New Roman" w:eastAsia="Times New Roman" w:hAnsi="Times New Roman" w:cs="Times New Roman"/>
                <w:color w:val="000000"/>
                <w:sz w:val="16"/>
                <w:szCs w:val="16"/>
              </w:rPr>
              <w:t>GTPIIis</w:t>
            </w:r>
            <w:proofErr w:type="spellEnd"/>
            <w:r w:rsidR="0018043A" w:rsidRPr="0018043A">
              <w:rPr>
                <w:rFonts w:ascii="Times New Roman" w:eastAsia="Times New Roman" w:hAnsi="Times New Roman" w:cs="Times New Roman"/>
                <w:color w:val="000000"/>
                <w:sz w:val="16"/>
                <w:szCs w:val="16"/>
              </w:rPr>
              <w:t xml:space="preserve"> aligned with global and regional perspectives including the Integrated African Strategy on Meteorology (IASM). HWQDs </w:t>
            </w:r>
            <w:proofErr w:type="spellStart"/>
            <w:r w:rsidR="0018043A" w:rsidRPr="0018043A">
              <w:rPr>
                <w:rFonts w:ascii="Times New Roman" w:eastAsia="Times New Roman" w:hAnsi="Times New Roman" w:cs="Times New Roman"/>
                <w:color w:val="000000"/>
                <w:sz w:val="16"/>
                <w:szCs w:val="16"/>
              </w:rPr>
              <w:t>GTPIIaims</w:t>
            </w:r>
            <w:proofErr w:type="spellEnd"/>
            <w:r w:rsidR="0018043A" w:rsidRPr="0018043A">
              <w:rPr>
                <w:rFonts w:ascii="Times New Roman" w:eastAsia="Times New Roman" w:hAnsi="Times New Roman" w:cs="Times New Roman"/>
                <w:color w:val="000000"/>
                <w:sz w:val="16"/>
                <w:szCs w:val="16"/>
              </w:rPr>
              <w:t xml:space="preserve"> to upgrade all hydrology stations with telemetry. Ethiopia’s second National GTP (2015-2020) incorporates </w:t>
            </w:r>
            <w:proofErr w:type="spellStart"/>
            <w:r w:rsidR="0018043A" w:rsidRPr="0018043A">
              <w:rPr>
                <w:rFonts w:ascii="Times New Roman" w:eastAsia="Times New Roman" w:hAnsi="Times New Roman" w:cs="Times New Roman"/>
                <w:color w:val="000000"/>
                <w:sz w:val="16"/>
                <w:szCs w:val="16"/>
              </w:rPr>
              <w:t>targetsfor</w:t>
            </w:r>
            <w:proofErr w:type="spellEnd"/>
            <w:r w:rsidR="0018043A" w:rsidRPr="0018043A">
              <w:rPr>
                <w:rFonts w:ascii="Times New Roman" w:eastAsia="Times New Roman" w:hAnsi="Times New Roman" w:cs="Times New Roman"/>
                <w:color w:val="000000"/>
                <w:sz w:val="16"/>
                <w:szCs w:val="16"/>
              </w:rPr>
              <w:t xml:space="preserve"> delivery of meteorological forecasting and early warning services including: “preparation and dissemination of short duration weather forecasting reports twice a day; midterm weather forecast on daily basis; 1-5 days cities weather forecast which could be updated daily as well as regional midterm weather forecast which could be updated yearly”.</w:t>
            </w:r>
            <w:bookmarkEnd w:id="0"/>
          </w:p>
          <w:p w14:paraId="69EAC2DE" w14:textId="6E42B089" w:rsidR="00A1498F" w:rsidRDefault="00A1498F" w:rsidP="00817531">
            <w:pPr>
              <w:rPr>
                <w:rFonts w:ascii="Times New Roman" w:eastAsia="Times New Roman" w:hAnsi="Times New Roman" w:cs="Times New Roman"/>
                <w:color w:val="000000"/>
                <w:sz w:val="16"/>
                <w:szCs w:val="16"/>
              </w:rPr>
            </w:pPr>
          </w:p>
          <w:p w14:paraId="0F7B7B92" w14:textId="55F7CA2E" w:rsidR="00A1498F" w:rsidRDefault="00A1498F" w:rsidP="0081753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Liberia: </w:t>
            </w:r>
            <w:r w:rsidR="00BA2ADF">
              <w:rPr>
                <w:rFonts w:ascii="Times New Roman" w:eastAsia="Times New Roman" w:hAnsi="Times New Roman" w:cs="Times New Roman"/>
                <w:color w:val="000000"/>
                <w:sz w:val="16"/>
                <w:szCs w:val="16"/>
              </w:rPr>
              <w:t xml:space="preserve">The partnerships have been established to </w:t>
            </w:r>
            <w:proofErr w:type="spellStart"/>
            <w:r w:rsidR="00BA2ADF">
              <w:rPr>
                <w:rFonts w:ascii="Times New Roman" w:eastAsia="Times New Roman" w:hAnsi="Times New Roman" w:cs="Times New Roman"/>
                <w:color w:val="000000"/>
                <w:sz w:val="16"/>
                <w:szCs w:val="16"/>
              </w:rPr>
              <w:t>movize</w:t>
            </w:r>
            <w:proofErr w:type="spellEnd"/>
            <w:r w:rsidR="00BA2ADF">
              <w:rPr>
                <w:rFonts w:ascii="Times New Roman" w:eastAsia="Times New Roman" w:hAnsi="Times New Roman" w:cs="Times New Roman"/>
                <w:color w:val="000000"/>
                <w:sz w:val="16"/>
                <w:szCs w:val="16"/>
              </w:rPr>
              <w:t xml:space="preserve"> and better awareness has been made. However, target was not reached during project lifetime (PIR reporting)</w:t>
            </w:r>
          </w:p>
          <w:p w14:paraId="75A3D852" w14:textId="77777777" w:rsidR="00A1498F" w:rsidRDefault="00A1498F" w:rsidP="00EA3ACB">
            <w:pPr>
              <w:rPr>
                <w:rFonts w:ascii="Times New Roman" w:eastAsia="Times New Roman" w:hAnsi="Times New Roman" w:cs="Times New Roman"/>
                <w:color w:val="000000"/>
                <w:sz w:val="16"/>
                <w:szCs w:val="16"/>
              </w:rPr>
            </w:pPr>
          </w:p>
          <w:p w14:paraId="6903E58B" w14:textId="6734F4E5" w:rsidR="00EA3ACB" w:rsidRPr="00EA3ACB" w:rsidRDefault="00753478" w:rsidP="00EA3ACB">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Malawi: </w:t>
            </w:r>
            <w:r w:rsidR="00EA3ACB" w:rsidRPr="00EA3ACB">
              <w:rPr>
                <w:rFonts w:ascii="Times New Roman" w:eastAsia="Times New Roman" w:hAnsi="Times New Roman" w:cs="Times New Roman"/>
                <w:color w:val="000000"/>
                <w:sz w:val="16"/>
                <w:szCs w:val="16"/>
              </w:rPr>
              <w:t xml:space="preserve">The first ever National Disaster Risk Management Policy of 2015 and Climate Change Management Policy are in in place. A first ever Meteorology Policy was finalized and awaits Cabinet approval.  </w:t>
            </w:r>
          </w:p>
          <w:p w14:paraId="558A0480" w14:textId="77777777" w:rsidR="00EA3ACB" w:rsidRPr="00EA3ACB" w:rsidRDefault="00EA3ACB" w:rsidP="00EA3ACB">
            <w:pPr>
              <w:rPr>
                <w:rFonts w:ascii="Times New Roman" w:eastAsia="Times New Roman" w:hAnsi="Times New Roman" w:cs="Times New Roman"/>
                <w:color w:val="000000"/>
                <w:sz w:val="16"/>
                <w:szCs w:val="16"/>
              </w:rPr>
            </w:pPr>
            <w:r w:rsidRPr="00EA3ACB">
              <w:rPr>
                <w:rFonts w:ascii="Times New Roman" w:eastAsia="Times New Roman" w:hAnsi="Times New Roman" w:cs="Times New Roman"/>
                <w:color w:val="000000"/>
                <w:sz w:val="16"/>
                <w:szCs w:val="16"/>
              </w:rPr>
              <w:t xml:space="preserve"> </w:t>
            </w:r>
          </w:p>
          <w:p w14:paraId="3B7967A9" w14:textId="2ADB77C5" w:rsidR="00753478" w:rsidRDefault="00EA3ACB" w:rsidP="00EA3ACB">
            <w:pPr>
              <w:rPr>
                <w:rFonts w:ascii="Times New Roman" w:eastAsia="Times New Roman" w:hAnsi="Times New Roman" w:cs="Times New Roman"/>
                <w:color w:val="000000"/>
                <w:sz w:val="16"/>
                <w:szCs w:val="16"/>
              </w:rPr>
            </w:pPr>
            <w:r w:rsidRPr="00EA3ACB">
              <w:rPr>
                <w:rFonts w:ascii="Times New Roman" w:eastAsia="Times New Roman" w:hAnsi="Times New Roman" w:cs="Times New Roman"/>
                <w:color w:val="000000"/>
                <w:sz w:val="16"/>
                <w:szCs w:val="16"/>
              </w:rPr>
              <w:t xml:space="preserve">2 District Development Plans have integrated Climate information and these have even been supported at urban council level, which has never been the case before as focus has been on rural areas.  </w:t>
            </w:r>
          </w:p>
          <w:p w14:paraId="71BA5DDB" w14:textId="77777777" w:rsidR="00753478" w:rsidRDefault="00753478" w:rsidP="00B178DC">
            <w:pPr>
              <w:rPr>
                <w:rFonts w:ascii="Times New Roman" w:eastAsia="Times New Roman" w:hAnsi="Times New Roman" w:cs="Times New Roman"/>
                <w:color w:val="000000"/>
                <w:sz w:val="16"/>
                <w:szCs w:val="16"/>
              </w:rPr>
            </w:pPr>
          </w:p>
          <w:p w14:paraId="19D19219" w14:textId="5DDE7D4A" w:rsidR="00B178DC" w:rsidRDefault="00B178DC" w:rsidP="00B178DC">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Sao Tome: </w:t>
            </w:r>
            <w:r w:rsidRPr="00B178DC">
              <w:rPr>
                <w:rFonts w:ascii="Times New Roman" w:eastAsia="Times New Roman" w:hAnsi="Times New Roman" w:cs="Times New Roman"/>
                <w:color w:val="000000"/>
                <w:sz w:val="16"/>
                <w:szCs w:val="16"/>
              </w:rPr>
              <w:t>Sectorial strategies and plans integrate now the risks associated to CC</w:t>
            </w:r>
            <w:r>
              <w:rPr>
                <w:rFonts w:ascii="Times New Roman" w:eastAsia="Times New Roman" w:hAnsi="Times New Roman" w:cs="Times New Roman"/>
                <w:color w:val="000000"/>
                <w:sz w:val="16"/>
                <w:szCs w:val="16"/>
              </w:rPr>
              <w:t xml:space="preserve"> (no number is cited)</w:t>
            </w:r>
            <w:r w:rsidRPr="00B178DC">
              <w:rPr>
                <w:rFonts w:ascii="Times New Roman" w:eastAsia="Times New Roman" w:hAnsi="Times New Roman" w:cs="Times New Roman"/>
                <w:color w:val="000000"/>
                <w:sz w:val="16"/>
                <w:szCs w:val="16"/>
              </w:rPr>
              <w:t>.  In order to add some quality and celerity to the CONPREC communication system, the project has developed a "Standard Operational Protocol of Communication”</w:t>
            </w:r>
            <w:r>
              <w:rPr>
                <w:rFonts w:ascii="Times New Roman" w:eastAsia="Times New Roman" w:hAnsi="Times New Roman" w:cs="Times New Roman"/>
                <w:color w:val="000000"/>
                <w:sz w:val="16"/>
                <w:szCs w:val="16"/>
              </w:rPr>
              <w:t xml:space="preserve"> which will be made operational in 2019</w:t>
            </w:r>
            <w:r w:rsidRPr="00B178DC">
              <w:rPr>
                <w:rFonts w:ascii="Times New Roman" w:eastAsia="Times New Roman" w:hAnsi="Times New Roman" w:cs="Times New Roman"/>
                <w:color w:val="000000"/>
                <w:sz w:val="16"/>
                <w:szCs w:val="16"/>
              </w:rPr>
              <w:t>.</w:t>
            </w:r>
          </w:p>
          <w:p w14:paraId="4CEA50CB" w14:textId="77777777" w:rsidR="00B178DC" w:rsidRDefault="00B178DC" w:rsidP="00817531">
            <w:pPr>
              <w:rPr>
                <w:rFonts w:ascii="Times New Roman" w:eastAsia="Times New Roman" w:hAnsi="Times New Roman" w:cs="Times New Roman"/>
                <w:color w:val="000000"/>
                <w:sz w:val="16"/>
                <w:szCs w:val="16"/>
              </w:rPr>
            </w:pPr>
          </w:p>
          <w:p w14:paraId="58A04677" w14:textId="212B3182" w:rsidR="009333F9" w:rsidRDefault="009301EE" w:rsidP="00817531">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Sierra Leone: </w:t>
            </w:r>
            <w:r w:rsidR="004F1878" w:rsidRPr="004F1878">
              <w:rPr>
                <w:rFonts w:ascii="Times New Roman" w:eastAsia="Times New Roman" w:hAnsi="Times New Roman" w:cs="Times New Roman"/>
                <w:color w:val="000000"/>
                <w:sz w:val="16"/>
                <w:szCs w:val="16"/>
              </w:rPr>
              <w:t>Progress towards the target of at least 2</w:t>
            </w:r>
            <w:r w:rsidR="004F1878">
              <w:rPr>
                <w:rFonts w:ascii="Times New Roman" w:eastAsia="Times New Roman" w:hAnsi="Times New Roman" w:cs="Times New Roman"/>
                <w:color w:val="000000"/>
                <w:sz w:val="16"/>
                <w:szCs w:val="16"/>
              </w:rPr>
              <w:t xml:space="preserve"> (target set)</w:t>
            </w:r>
            <w:r w:rsidR="004F1878" w:rsidRPr="004F1878">
              <w:rPr>
                <w:rFonts w:ascii="Times New Roman" w:eastAsia="Times New Roman" w:hAnsi="Times New Roman" w:cs="Times New Roman"/>
                <w:color w:val="000000"/>
                <w:sz w:val="16"/>
                <w:szCs w:val="16"/>
              </w:rPr>
              <w:t xml:space="preserve"> of the PRSP policy briefs incorporate analyses of risk maps and/or climate change projections influencing long term planning proposals is achieved with the development of the hazard profile, land policy and the drafted Climate Change Strategy and Action Plan by the Environment Protection Agency of Sierra Leone.</w:t>
            </w:r>
          </w:p>
          <w:p w14:paraId="4EAFB2D1" w14:textId="5F9DCBCB" w:rsidR="00795C12" w:rsidRDefault="00795C12" w:rsidP="00795C12">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Tanzania: </w:t>
            </w:r>
            <w:r w:rsidRPr="00795C12">
              <w:rPr>
                <w:rFonts w:ascii="Times New Roman" w:eastAsia="Times New Roman" w:hAnsi="Times New Roman" w:cs="Times New Roman"/>
                <w:color w:val="000000"/>
                <w:sz w:val="16"/>
                <w:szCs w:val="16"/>
              </w:rPr>
              <w:t>project has improved the integration of climate information into early warning systems and short and long-term plans in the pilot districts (</w:t>
            </w:r>
            <w:proofErr w:type="spellStart"/>
            <w:r w:rsidRPr="00795C12">
              <w:rPr>
                <w:rFonts w:ascii="Times New Roman" w:eastAsia="Times New Roman" w:hAnsi="Times New Roman" w:cs="Times New Roman"/>
                <w:color w:val="000000"/>
                <w:sz w:val="16"/>
                <w:szCs w:val="16"/>
              </w:rPr>
              <w:t>Liwale</w:t>
            </w:r>
            <w:proofErr w:type="spellEnd"/>
            <w:r w:rsidRPr="00795C12">
              <w:rPr>
                <w:rFonts w:ascii="Times New Roman" w:eastAsia="Times New Roman" w:hAnsi="Times New Roman" w:cs="Times New Roman"/>
                <w:color w:val="000000"/>
                <w:sz w:val="16"/>
                <w:szCs w:val="16"/>
              </w:rPr>
              <w:t xml:space="preserve"> and </w:t>
            </w:r>
            <w:proofErr w:type="spellStart"/>
            <w:r w:rsidRPr="00795C12">
              <w:rPr>
                <w:rFonts w:ascii="Times New Roman" w:eastAsia="Times New Roman" w:hAnsi="Times New Roman" w:cs="Times New Roman"/>
                <w:color w:val="000000"/>
                <w:sz w:val="16"/>
                <w:szCs w:val="16"/>
              </w:rPr>
              <w:t>Arumeru</w:t>
            </w:r>
            <w:proofErr w:type="spellEnd"/>
            <w:r w:rsidRPr="00795C12">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w:t>
            </w:r>
            <w:r w:rsidRPr="00795C12">
              <w:rPr>
                <w:rFonts w:ascii="Times New Roman" w:eastAsia="Times New Roman" w:hAnsi="Times New Roman" w:cs="Times New Roman"/>
                <w:color w:val="000000"/>
                <w:sz w:val="16"/>
                <w:szCs w:val="16"/>
              </w:rPr>
              <w:t xml:space="preserve">The project has developed guidelines for updating local land use plans, district strategic development plans and district budget plans in light of emerging climate information, flood </w:t>
            </w:r>
            <w:r w:rsidRPr="00795C12">
              <w:rPr>
                <w:rFonts w:ascii="Times New Roman" w:eastAsia="Times New Roman" w:hAnsi="Times New Roman" w:cs="Times New Roman"/>
                <w:color w:val="000000"/>
                <w:sz w:val="16"/>
                <w:szCs w:val="16"/>
              </w:rPr>
              <w:lastRenderedPageBreak/>
              <w:t xml:space="preserve">forecasts and economic scenarios for </w:t>
            </w:r>
            <w:proofErr w:type="spellStart"/>
            <w:r w:rsidRPr="00795C12">
              <w:rPr>
                <w:rFonts w:ascii="Times New Roman" w:eastAsia="Times New Roman" w:hAnsi="Times New Roman" w:cs="Times New Roman"/>
                <w:color w:val="000000"/>
                <w:sz w:val="16"/>
                <w:szCs w:val="16"/>
              </w:rPr>
              <w:t>Liwale</w:t>
            </w:r>
            <w:proofErr w:type="spellEnd"/>
            <w:r w:rsidRPr="00795C12">
              <w:rPr>
                <w:rFonts w:ascii="Times New Roman" w:eastAsia="Times New Roman" w:hAnsi="Times New Roman" w:cs="Times New Roman"/>
                <w:color w:val="000000"/>
                <w:sz w:val="16"/>
                <w:szCs w:val="16"/>
              </w:rPr>
              <w:t xml:space="preserve"> and </w:t>
            </w:r>
            <w:proofErr w:type="spellStart"/>
            <w:r w:rsidRPr="00795C12">
              <w:rPr>
                <w:rFonts w:ascii="Times New Roman" w:eastAsia="Times New Roman" w:hAnsi="Times New Roman" w:cs="Times New Roman"/>
                <w:color w:val="000000"/>
                <w:sz w:val="16"/>
                <w:szCs w:val="16"/>
              </w:rPr>
              <w:t>Arumeru</w:t>
            </w:r>
            <w:proofErr w:type="spellEnd"/>
            <w:r w:rsidRPr="00795C12">
              <w:rPr>
                <w:rFonts w:ascii="Times New Roman" w:eastAsia="Times New Roman" w:hAnsi="Times New Roman" w:cs="Times New Roman"/>
                <w:color w:val="000000"/>
                <w:sz w:val="16"/>
                <w:szCs w:val="16"/>
              </w:rPr>
              <w:t xml:space="preserve"> Districts.  The guidelines were used to update local land use plans, district strategic development plans and district budget plans in light of emerging climate information, flood forecasts and economic scenarios.</w:t>
            </w:r>
          </w:p>
          <w:p w14:paraId="43A00509" w14:textId="6CEDFF63" w:rsidR="00994EE1" w:rsidRDefault="00994EE1" w:rsidP="00795C12">
            <w:pPr>
              <w:jc w:val="both"/>
              <w:rPr>
                <w:rFonts w:ascii="Times New Roman" w:eastAsia="Times New Roman" w:hAnsi="Times New Roman" w:cs="Times New Roman"/>
                <w:color w:val="000000"/>
                <w:sz w:val="16"/>
                <w:szCs w:val="16"/>
              </w:rPr>
            </w:pPr>
          </w:p>
          <w:p w14:paraId="016B5FFF" w14:textId="3BEF6C59" w:rsidR="00994EE1" w:rsidRDefault="00994EE1" w:rsidP="00795C12">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Uganda: </w:t>
            </w:r>
            <w:r w:rsidRPr="00994EE1">
              <w:rPr>
                <w:rFonts w:ascii="Times New Roman" w:eastAsia="Times New Roman" w:hAnsi="Times New Roman" w:cs="Times New Roman"/>
                <w:color w:val="000000"/>
                <w:sz w:val="16"/>
                <w:szCs w:val="16"/>
              </w:rPr>
              <w:t>3 sectors have been able to integrate climate and early warning information in their policies and plans that are at different stages of review or development.  These include Ministries of Water and Environment; Agriculture, Livestock and Fisheries and Office of Prime Minister.  The policies and strategies include: Water policy and Act; the National Environment Policy and Act; Disaster Preparedness and Management Policy and Bill; and Climate Change Bill under development; and Agriculture Sector Development Investment Plan and Climate Smart Agriculture Strategy.</w:t>
            </w:r>
          </w:p>
          <w:p w14:paraId="6B1C753C" w14:textId="217D57BD" w:rsidR="00994EE1" w:rsidRDefault="00994EE1" w:rsidP="00795C12">
            <w:pPr>
              <w:jc w:val="both"/>
              <w:rPr>
                <w:rFonts w:ascii="Times New Roman" w:eastAsia="Times New Roman" w:hAnsi="Times New Roman" w:cs="Times New Roman"/>
                <w:color w:val="000000"/>
                <w:sz w:val="16"/>
                <w:szCs w:val="16"/>
              </w:rPr>
            </w:pPr>
          </w:p>
          <w:p w14:paraId="609BADB9" w14:textId="093F4436" w:rsidR="00A1498F" w:rsidRDefault="00A1498F" w:rsidP="00795C12">
            <w:pP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Zambia: </w:t>
            </w:r>
            <w:r w:rsidR="004A0884" w:rsidRPr="004A0884">
              <w:rPr>
                <w:rFonts w:ascii="Times New Roman" w:eastAsia="Times New Roman" w:hAnsi="Times New Roman" w:cs="Times New Roman"/>
                <w:color w:val="000000"/>
                <w:sz w:val="16"/>
                <w:szCs w:val="16"/>
              </w:rPr>
              <w:t>At the national level, climate change has been integrated into all pillars of the 7NDP which is the key policy document for the Government in implementing the national agenda. One of the major transformation in the use of weather and climate information at the district level is the weather related impact actions</w:t>
            </w:r>
            <w:r w:rsidR="004A0884">
              <w:rPr>
                <w:rFonts w:ascii="Times New Roman" w:eastAsia="Times New Roman" w:hAnsi="Times New Roman" w:cs="Times New Roman"/>
                <w:color w:val="000000"/>
                <w:sz w:val="16"/>
                <w:szCs w:val="16"/>
              </w:rPr>
              <w:t xml:space="preserve">. </w:t>
            </w:r>
            <w:r w:rsidR="004A0884" w:rsidRPr="004A0884">
              <w:rPr>
                <w:rFonts w:ascii="Times New Roman" w:eastAsia="Times New Roman" w:hAnsi="Times New Roman" w:cs="Times New Roman"/>
                <w:color w:val="000000"/>
                <w:sz w:val="16"/>
                <w:szCs w:val="16"/>
              </w:rPr>
              <w:t xml:space="preserve">At the district level the project facilitated the </w:t>
            </w:r>
            <w:r w:rsidR="00BA2ADF" w:rsidRPr="004A0884">
              <w:rPr>
                <w:rFonts w:ascii="Times New Roman" w:eastAsia="Times New Roman" w:hAnsi="Times New Roman" w:cs="Times New Roman"/>
                <w:color w:val="000000"/>
                <w:sz w:val="16"/>
                <w:szCs w:val="16"/>
              </w:rPr>
              <w:t>organization</w:t>
            </w:r>
            <w:r w:rsidR="004A0884" w:rsidRPr="004A0884">
              <w:rPr>
                <w:rFonts w:ascii="Times New Roman" w:eastAsia="Times New Roman" w:hAnsi="Times New Roman" w:cs="Times New Roman"/>
                <w:color w:val="000000"/>
                <w:sz w:val="16"/>
                <w:szCs w:val="16"/>
              </w:rPr>
              <w:t xml:space="preserve"> of the multi-sectorial District Disaster Coordinating Committee (DDCC). The weather and climate information produced supports policy and planning among the different sectors represented in the DDCC.  Further the DMMU focal points in the districts use the weather and climate information to update the disaster risk reduction activities</w:t>
            </w:r>
          </w:p>
          <w:p w14:paraId="1B1E0445" w14:textId="77777777" w:rsidR="00994EE1" w:rsidRDefault="00994EE1" w:rsidP="00795C12">
            <w:pPr>
              <w:jc w:val="both"/>
              <w:rPr>
                <w:rFonts w:ascii="Times New Roman" w:eastAsia="Times New Roman" w:hAnsi="Times New Roman" w:cs="Times New Roman"/>
                <w:color w:val="000000"/>
                <w:sz w:val="16"/>
                <w:szCs w:val="16"/>
              </w:rPr>
            </w:pPr>
          </w:p>
          <w:p w14:paraId="573C179F" w14:textId="77777777" w:rsidR="00795C12" w:rsidRDefault="00795C12" w:rsidP="00795C12">
            <w:pPr>
              <w:jc w:val="both"/>
              <w:rPr>
                <w:rFonts w:ascii="Times New Roman" w:eastAsia="Times New Roman" w:hAnsi="Times New Roman" w:cs="Times New Roman"/>
                <w:color w:val="000000"/>
                <w:sz w:val="16"/>
                <w:szCs w:val="16"/>
              </w:rPr>
            </w:pPr>
          </w:p>
          <w:p w14:paraId="11170E96" w14:textId="456BE4FA" w:rsidR="00795C12" w:rsidRDefault="00795C12" w:rsidP="00795C12">
            <w:pPr>
              <w:jc w:val="both"/>
              <w:rPr>
                <w:rFonts w:ascii="Times New Roman" w:eastAsia="Times New Roman" w:hAnsi="Times New Roman" w:cs="Times New Roman"/>
                <w:color w:val="000000"/>
                <w:sz w:val="16"/>
                <w:szCs w:val="16"/>
              </w:rPr>
            </w:pPr>
            <w:r w:rsidRPr="00795C12">
              <w:rPr>
                <w:rFonts w:ascii="Times New Roman" w:eastAsia="Times New Roman" w:hAnsi="Times New Roman" w:cs="Times New Roman"/>
                <w:color w:val="000000"/>
                <w:sz w:val="16"/>
                <w:szCs w:val="16"/>
              </w:rPr>
              <w:t xml:space="preserve">  </w:t>
            </w:r>
          </w:p>
          <w:p w14:paraId="28D634A4" w14:textId="77777777" w:rsidR="004F1878" w:rsidRDefault="004F1878" w:rsidP="00817531">
            <w:pPr>
              <w:rPr>
                <w:rFonts w:ascii="Times New Roman" w:eastAsia="Times New Roman" w:hAnsi="Times New Roman" w:cs="Times New Roman"/>
                <w:color w:val="000000"/>
                <w:sz w:val="16"/>
                <w:szCs w:val="16"/>
              </w:rPr>
            </w:pPr>
          </w:p>
          <w:p w14:paraId="775E8E2E" w14:textId="17BC2B4F" w:rsidR="004F1878" w:rsidRPr="00452CD2" w:rsidRDefault="004F1878" w:rsidP="00817531">
            <w:pPr>
              <w:rPr>
                <w:rFonts w:ascii="Times New Roman" w:eastAsia="Times New Roman" w:hAnsi="Times New Roman" w:cs="Times New Roman"/>
                <w:color w:val="000000"/>
                <w:sz w:val="16"/>
                <w:szCs w:val="16"/>
              </w:rPr>
            </w:pPr>
          </w:p>
        </w:tc>
        <w:tc>
          <w:tcPr>
            <w:tcW w:w="1876" w:type="dxa"/>
            <w:shd w:val="clear" w:color="auto" w:fill="auto"/>
            <w:hideMark/>
          </w:tcPr>
          <w:p w14:paraId="197B2BDD" w14:textId="491A6D8A" w:rsidR="009333F9" w:rsidRPr="009333F9" w:rsidRDefault="009333F9" w:rsidP="009333F9">
            <w:pPr>
              <w:jc w:val="both"/>
              <w:rPr>
                <w:rFonts w:ascii="Times New Roman" w:eastAsia="Times New Roman" w:hAnsi="Times New Roman" w:cs="Times New Roman"/>
                <w:color w:val="000000"/>
                <w:sz w:val="16"/>
                <w:szCs w:val="16"/>
              </w:rPr>
            </w:pPr>
            <w:r w:rsidRPr="009333F9">
              <w:rPr>
                <w:rFonts w:ascii="Times New Roman" w:eastAsia="Times New Roman" w:hAnsi="Times New Roman" w:cs="Times New Roman"/>
                <w:color w:val="000000"/>
                <w:sz w:val="16"/>
                <w:szCs w:val="16"/>
              </w:rPr>
              <w:lastRenderedPageBreak/>
              <w:t>At least 3 sectoral development</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frameworks (at national, subnational</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and sector level)</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incorporate analyses of risks based</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on climate change projections and</w:t>
            </w:r>
          </w:p>
          <w:p w14:paraId="01816CE8" w14:textId="2C9FB6C0" w:rsidR="009333F9" w:rsidRPr="00452CD2" w:rsidRDefault="009333F9" w:rsidP="009333F9">
            <w:pPr>
              <w:jc w:val="both"/>
              <w:rPr>
                <w:rFonts w:ascii="Times New Roman" w:eastAsia="Times New Roman" w:hAnsi="Times New Roman" w:cs="Times New Roman"/>
                <w:color w:val="000000"/>
                <w:sz w:val="16"/>
                <w:szCs w:val="16"/>
              </w:rPr>
            </w:pPr>
            <w:r w:rsidRPr="009333F9">
              <w:rPr>
                <w:rFonts w:ascii="Times New Roman" w:eastAsia="Times New Roman" w:hAnsi="Times New Roman" w:cs="Times New Roman"/>
                <w:color w:val="000000"/>
                <w:sz w:val="16"/>
                <w:szCs w:val="16"/>
              </w:rPr>
              <w:t>take into account costs and benefits</w:t>
            </w:r>
            <w:r>
              <w:rPr>
                <w:rFonts w:ascii="Times New Roman" w:eastAsia="Times New Roman" w:hAnsi="Times New Roman" w:cs="Times New Roman"/>
                <w:color w:val="000000"/>
                <w:sz w:val="16"/>
                <w:szCs w:val="16"/>
              </w:rPr>
              <w:t xml:space="preserve"> </w:t>
            </w:r>
            <w:r w:rsidRPr="009333F9">
              <w:rPr>
                <w:rFonts w:ascii="Times New Roman" w:eastAsia="Times New Roman" w:hAnsi="Times New Roman" w:cs="Times New Roman"/>
                <w:color w:val="000000"/>
                <w:sz w:val="16"/>
                <w:szCs w:val="16"/>
              </w:rPr>
              <w:t>of adaptation.</w:t>
            </w:r>
          </w:p>
        </w:tc>
      </w:tr>
    </w:tbl>
    <w:p w14:paraId="42CB4EB0" w14:textId="6DFDF757" w:rsidR="0008031E" w:rsidRDefault="0008031E" w:rsidP="0008031E"/>
    <w:p w14:paraId="4306BD77" w14:textId="7C32C74F" w:rsidR="0008031E" w:rsidRPr="008D29BF" w:rsidRDefault="0008031E" w:rsidP="0008031E">
      <w:pPr>
        <w:pStyle w:val="ListParagraph"/>
        <w:numPr>
          <w:ilvl w:val="0"/>
          <w:numId w:val="1"/>
        </w:numPr>
        <w:rPr>
          <w:b/>
        </w:rPr>
      </w:pPr>
      <w:r w:rsidRPr="008D29BF">
        <w:rPr>
          <w:b/>
        </w:rPr>
        <w:t>Lessons learned</w:t>
      </w:r>
    </w:p>
    <w:p w14:paraId="43151670" w14:textId="76D5E00E" w:rsidR="00106915" w:rsidRDefault="00106915" w:rsidP="00106915"/>
    <w:p w14:paraId="2F8C036A" w14:textId="4C26B5EA" w:rsidR="008E2ABC" w:rsidRDefault="008E2ABC" w:rsidP="008E2ABC">
      <w:r>
        <w:t xml:space="preserve">During the </w:t>
      </w:r>
      <w:r>
        <w:t>y</w:t>
      </w:r>
      <w:r>
        <w:t xml:space="preserve">ears the UNDP CIRDA </w:t>
      </w:r>
      <w:proofErr w:type="spellStart"/>
      <w:r>
        <w:t>Programme</w:t>
      </w:r>
      <w:proofErr w:type="spellEnd"/>
      <w:r>
        <w:t xml:space="preserve"> was active in the 11 countries, the technical and administrative teams learned several lessons that should be considered by all groups attempting to address the challenges that faced this program.  </w:t>
      </w:r>
    </w:p>
    <w:p w14:paraId="7FF7C547" w14:textId="77777777" w:rsidR="008E2ABC" w:rsidRDefault="008E2ABC" w:rsidP="008E2ABC"/>
    <w:p w14:paraId="66193AB0" w14:textId="72137BE3" w:rsidR="005C3A6F" w:rsidRDefault="00F36608" w:rsidP="005C3A6F">
      <w:pPr>
        <w:pStyle w:val="ListParagraph"/>
        <w:numPr>
          <w:ilvl w:val="0"/>
          <w:numId w:val="3"/>
        </w:numPr>
        <w:jc w:val="both"/>
      </w:pPr>
      <w:r w:rsidRPr="00F36608">
        <w:rPr>
          <w:b/>
        </w:rPr>
        <w:t>It takes a continued and near constant effort to form partnerships</w:t>
      </w:r>
      <w:r>
        <w:t xml:space="preserve">. </w:t>
      </w:r>
      <w:r w:rsidR="008E2ABC">
        <w:t xml:space="preserve">For example, aiding Sub-Saharan NMHSs and associated government agencies in the adoption of innovative technologies and techniques requires the building of effective partnerships between the government, NMHS, private weather companies, cell phone companies, and other partners, public and private. Frequent face-to-face discussions over a period of months appear to be a necessary early step in most cases. Building these partnerships among the many stakeholders needs extensive effort; a sustained effort over a decade or more may be required. A complicating factor is that each NMHS is unique, so what works in one country may not work elsewhere. The senior administration </w:t>
      </w:r>
      <w:r w:rsidR="008E2ABC">
        <w:lastRenderedPageBreak/>
        <w:t>and the technical staff in NMHSs can change during the development of such relationships. This may necessitate starting over and explaining rationale and arrangements for working with the private sector.</w:t>
      </w:r>
    </w:p>
    <w:p w14:paraId="5BCB7417" w14:textId="77777777" w:rsidR="005C3A6F" w:rsidRDefault="005C3A6F" w:rsidP="005C3A6F">
      <w:pPr>
        <w:pStyle w:val="ListParagraph"/>
        <w:ind w:left="360"/>
        <w:jc w:val="both"/>
      </w:pPr>
    </w:p>
    <w:p w14:paraId="3873667D" w14:textId="77777777" w:rsidR="005C3A6F" w:rsidRDefault="005C3A6F" w:rsidP="005C3A6F">
      <w:pPr>
        <w:pStyle w:val="ListParagraph"/>
        <w:ind w:left="360"/>
        <w:jc w:val="both"/>
      </w:pPr>
      <w:r>
        <w:t>In this sense, t</w:t>
      </w:r>
      <w:r>
        <w:t xml:space="preserve">he country partners of the UNDP CIRDA </w:t>
      </w:r>
      <w:proofErr w:type="spellStart"/>
      <w:r>
        <w:t>Programme</w:t>
      </w:r>
      <w:proofErr w:type="spellEnd"/>
      <w:r>
        <w:t xml:space="preserve"> can claim several accomplishments. Perhaps the most important of these was the introduction to many in the middle and senior management levels of the NMHSs of the notion of end-to-end systems planning, with fully integrated hardware, data processing, and communications, as opposed to the purchase of bits and pieces of hardware and software, with limited support for overall integration. This concept is now increasingly part of more recent donor funded projects as reflected in recent proposals to the Green Climate Fund.  </w:t>
      </w:r>
    </w:p>
    <w:p w14:paraId="43E747D0" w14:textId="77777777" w:rsidR="005C3A6F" w:rsidRDefault="005C3A6F" w:rsidP="005C3A6F">
      <w:pPr>
        <w:pStyle w:val="ListParagraph"/>
        <w:ind w:left="360"/>
        <w:jc w:val="both"/>
      </w:pPr>
    </w:p>
    <w:p w14:paraId="03940471" w14:textId="0E7C3525" w:rsidR="005C3A6F" w:rsidRDefault="005C3A6F" w:rsidP="005C3A6F">
      <w:pPr>
        <w:pStyle w:val="ListParagraph"/>
        <w:ind w:left="360"/>
        <w:jc w:val="both"/>
      </w:pPr>
      <w:r>
        <w:t xml:space="preserve">In several of the 11 countries, with the technical support of the CIRDA team, the NMHS started viewing cell phone service companies as key partners for the collection of observations and other data and the delivery of services. The CIRDA team facilitated the dialogue between NMHSs and cell phone companies to discuss </w:t>
      </w:r>
      <w:proofErr w:type="spellStart"/>
      <w:r>
        <w:t>hydromet</w:t>
      </w:r>
      <w:proofErr w:type="spellEnd"/>
      <w:r>
        <w:t xml:space="preserve"> services. Cell phone companies were invited to participate in CIRDA workshops, and a representative of the international cell phone association, the GSMA, participated in a CIRDA program at the meetings of the UN Framework Convention on Climate Change in Morocco in December 2016.</w:t>
      </w:r>
    </w:p>
    <w:p w14:paraId="4E0F883C" w14:textId="77777777" w:rsidR="001F2432" w:rsidRDefault="001F2432" w:rsidP="005C3A6F">
      <w:pPr>
        <w:pStyle w:val="ListParagraph"/>
        <w:ind w:left="360"/>
        <w:jc w:val="both"/>
      </w:pPr>
    </w:p>
    <w:p w14:paraId="5B2D34C0" w14:textId="77777777" w:rsidR="005C3A6F" w:rsidRDefault="005C3A6F" w:rsidP="005C3A6F">
      <w:pPr>
        <w:pStyle w:val="ListParagraph"/>
        <w:ind w:left="360"/>
        <w:jc w:val="both"/>
      </w:pPr>
      <w:r>
        <w:t xml:space="preserve">CIRDA held workshops that facilitated linkages between NMHSs and a 3-2-1 free dialing service in Africa developed by a nonprofit NGO, Human Network International (HNI, now a for-profit venture, </w:t>
      </w:r>
      <w:proofErr w:type="spellStart"/>
      <w:r>
        <w:t>Viamo</w:t>
      </w:r>
      <w:proofErr w:type="spellEnd"/>
      <w:r>
        <w:t xml:space="preserve">) . Some of the cell phone services, particularly those in competitive markets, began to see that </w:t>
      </w:r>
      <w:proofErr w:type="spellStart"/>
      <w:r>
        <w:t>hydromet</w:t>
      </w:r>
      <w:proofErr w:type="spellEnd"/>
      <w:r>
        <w:t xml:space="preserve"> products could be a competitive advantage for the company, making possible a mutually beneficial arrangement with the NMHSs. Such an arrangement, however, requires the NMHS to routinely generate a high-quality product suite suitable for delivery by cell phone to farmers, fishermen, herdsmen, and others, which will drive paying customers to the cell phone service.</w:t>
      </w:r>
    </w:p>
    <w:p w14:paraId="6C4A60A8" w14:textId="77777777" w:rsidR="005C3A6F" w:rsidRDefault="005C3A6F" w:rsidP="005C3A6F">
      <w:pPr>
        <w:pStyle w:val="ListParagraph"/>
        <w:ind w:left="360"/>
        <w:jc w:val="both"/>
      </w:pPr>
    </w:p>
    <w:p w14:paraId="36542810" w14:textId="77777777" w:rsidR="00647412" w:rsidRDefault="00647412" w:rsidP="00647412">
      <w:pPr>
        <w:pStyle w:val="ListParagraph"/>
        <w:numPr>
          <w:ilvl w:val="0"/>
          <w:numId w:val="3"/>
        </w:numPr>
        <w:jc w:val="both"/>
      </w:pPr>
      <w:r w:rsidRPr="00F36608">
        <w:rPr>
          <w:b/>
        </w:rPr>
        <w:t>Cost efficiency</w:t>
      </w:r>
      <w:r>
        <w:t xml:space="preserve">. Having multiple countries procure the same equipment had the advantage that experiences could be shared, some training could be conducted in a large multi-country group format, and teams from one country could assist another in initial installation. In addition, the CIRDA technical team became expert in troubleshooting installation and communication problems with equipment provided under the LTA. Because of these results, the CIRDA </w:t>
      </w:r>
      <w:proofErr w:type="spellStart"/>
      <w:r>
        <w:t>Programme</w:t>
      </w:r>
      <w:proofErr w:type="spellEnd"/>
      <w:r>
        <w:t xml:space="preserve"> significantly increased the functional observing infrastructure in several countries. Hence, the CIRDA approach to providing multi country assistance to 11 national projects proved to be successful and an important input in helping national projects achieve individual project goals. </w:t>
      </w:r>
    </w:p>
    <w:p w14:paraId="33D35FA1" w14:textId="77777777" w:rsidR="008F23F7" w:rsidRDefault="008F23F7" w:rsidP="008F23F7">
      <w:pPr>
        <w:jc w:val="both"/>
      </w:pPr>
    </w:p>
    <w:p w14:paraId="5254FDFB" w14:textId="38CA1036" w:rsidR="00647412" w:rsidRDefault="008D29BF" w:rsidP="00647412">
      <w:pPr>
        <w:ind w:left="360"/>
        <w:jc w:val="both"/>
      </w:pPr>
      <w:r w:rsidRPr="008D29BF">
        <w:t xml:space="preserve">Long Term Agreements (LTAs) for both meteorological and hydrological needs were established through open competitions among numerous potential suppliers. In addition to hardware and software, they included options for both technical and training support, </w:t>
      </w:r>
      <w:r w:rsidRPr="008D29BF">
        <w:lastRenderedPageBreak/>
        <w:t xml:space="preserve">and assistance with installation and operation. </w:t>
      </w:r>
      <w:r w:rsidR="00647412" w:rsidRPr="00EE5BD3">
        <w:t xml:space="preserve">The procurement of hardware, software, and services through a UNDP </w:t>
      </w:r>
      <w:r w:rsidR="00647412">
        <w:t xml:space="preserve">LTA </w:t>
      </w:r>
      <w:r w:rsidR="00647412" w:rsidRPr="00EE5BD3">
        <w:t xml:space="preserve">was very different from the traditional series of single purchases, each requiring development of an RFP, conducting a bidding process, </w:t>
      </w:r>
      <w:r w:rsidR="00647412">
        <w:t>and other procedures</w:t>
      </w:r>
      <w:r w:rsidR="00647412" w:rsidRPr="00EE5BD3">
        <w:t>. The development of the RFP that produced the</w:t>
      </w:r>
      <w:r w:rsidR="00647412">
        <w:t xml:space="preserve"> surface-based observing systems</w:t>
      </w:r>
      <w:r w:rsidR="00647412" w:rsidRPr="00EE5BD3">
        <w:t xml:space="preserve"> LTA was a significant technical challenge and a major early task for the CIRDA technical and administrative teams. After an open, competitive bid process, only two firms were found to have submitted fully qualified proposals</w:t>
      </w:r>
      <w:r w:rsidR="00647412">
        <w:t>, Earth Networks and Ubimet.</w:t>
      </w:r>
      <w:r w:rsidR="00647412" w:rsidRPr="00EE5BD3">
        <w:t xml:space="preserve"> Subsequent similar processes resulted in additional </w:t>
      </w:r>
      <w:r w:rsidR="00647412">
        <w:t xml:space="preserve">LTAs </w:t>
      </w:r>
      <w:r w:rsidR="00647412" w:rsidRPr="00EE5BD3">
        <w:t>covering hydrologic observations.</w:t>
      </w:r>
      <w:r w:rsidR="00647412" w:rsidRPr="00364679">
        <w:t xml:space="preserve"> </w:t>
      </w:r>
      <w:r w:rsidR="00647412">
        <w:t xml:space="preserve">The CIRDA team also arranged for </w:t>
      </w:r>
      <w:r w:rsidR="00647412" w:rsidRPr="00EE5BD3">
        <w:t xml:space="preserve">use </w:t>
      </w:r>
      <w:r w:rsidR="00647412">
        <w:t xml:space="preserve">of </w:t>
      </w:r>
      <w:r w:rsidR="00647412" w:rsidRPr="00EE5BD3">
        <w:t>an LTA approved</w:t>
      </w:r>
      <w:r w:rsidR="00647412">
        <w:t xml:space="preserve"> previously</w:t>
      </w:r>
      <w:r w:rsidR="00647412" w:rsidRPr="00EE5BD3">
        <w:t xml:space="preserve"> for a World Food </w:t>
      </w:r>
      <w:proofErr w:type="spellStart"/>
      <w:r w:rsidR="00647412">
        <w:t>Programme</w:t>
      </w:r>
      <w:proofErr w:type="spellEnd"/>
      <w:r w:rsidR="00647412">
        <w:t xml:space="preserve"> </w:t>
      </w:r>
      <w:r w:rsidR="00647412" w:rsidRPr="00EE5BD3">
        <w:t>project that allowed for</w:t>
      </w:r>
      <w:r w:rsidR="00647412">
        <w:t xml:space="preserve"> procurement of</w:t>
      </w:r>
      <w:r w:rsidR="00647412" w:rsidRPr="00EE5BD3">
        <w:t xml:space="preserve"> more traditional AWS</w:t>
      </w:r>
      <w:r w:rsidR="00647412">
        <w:t xml:space="preserve"> from ADCON. However, the impact of these procurement tools where significant in helping accelerate procurement while ensuring that quality from providers was consistent and appropriate to national needs and capacities. </w:t>
      </w:r>
      <w:r w:rsidRPr="008D29BF">
        <w:t>While not required, NMHSs had an incentive to use the LTAs because delivery of the procured equipment and services was greatly simplified and much faster. A procurement could be implemented with reduced administrative and technical demands on the NMHS and UNDP country office staff.</w:t>
      </w:r>
    </w:p>
    <w:p w14:paraId="21A06485" w14:textId="77777777" w:rsidR="00647412" w:rsidRPr="00B31788" w:rsidRDefault="00647412" w:rsidP="00647412">
      <w:pPr>
        <w:ind w:left="360"/>
        <w:jc w:val="both"/>
      </w:pPr>
    </w:p>
    <w:p w14:paraId="213D1018" w14:textId="77777777" w:rsidR="00647412" w:rsidRDefault="00647412" w:rsidP="00647412">
      <w:pPr>
        <w:pStyle w:val="ListParagraph"/>
        <w:ind w:left="360"/>
        <w:jc w:val="both"/>
      </w:pPr>
      <w:r>
        <w:t xml:space="preserve">Nonetheless , an important challenge in the procurement of equipment was the inability to have a team of experts in place before projects were initiated. The realities of international development assistance require that financial arrangements need to be finalized before staff can be hired; consequently, team members were unable to assist with the initial program plans. Ideally, experts would assist with project preparation from the very beginning identifying gaps and potentials. A second best option is for a sequence in which national assessments of the capabilities of participating countries would be done first to tailor programs to meet country needs. For example, it might be better to focus on professional and technical training and external data services than on deploying yet another hard-to-sustain surface observing network.  Such an assessment was done in Uganda by a U.S. supported project and provided the CIRDA team with a helpful baseline (UNDP, 2016). </w:t>
      </w:r>
    </w:p>
    <w:p w14:paraId="6ECFD610" w14:textId="77777777" w:rsidR="00647412" w:rsidRPr="00647412" w:rsidRDefault="00647412" w:rsidP="00647412">
      <w:pPr>
        <w:pStyle w:val="ListParagraph"/>
        <w:ind w:left="360"/>
        <w:jc w:val="both"/>
        <w:rPr>
          <w:lang w:val="en-ZA"/>
        </w:rPr>
      </w:pPr>
    </w:p>
    <w:p w14:paraId="14FEE668" w14:textId="5E07DDAB" w:rsidR="00F36608" w:rsidRDefault="00F36608" w:rsidP="005C3A6F">
      <w:pPr>
        <w:pStyle w:val="ListParagraph"/>
        <w:numPr>
          <w:ilvl w:val="0"/>
          <w:numId w:val="3"/>
        </w:numPr>
        <w:jc w:val="both"/>
        <w:rPr>
          <w:lang w:val="en-ZA"/>
        </w:rPr>
      </w:pPr>
      <w:r w:rsidRPr="00F36608">
        <w:rPr>
          <w:b/>
          <w:lang w:val="en-ZA"/>
        </w:rPr>
        <w:t>Long term sustainability of project objectives.</w:t>
      </w:r>
      <w:r>
        <w:rPr>
          <w:lang w:val="en-ZA"/>
        </w:rPr>
        <w:t xml:space="preserve"> </w:t>
      </w:r>
      <w:r w:rsidR="005C3A6F" w:rsidRPr="00F36608">
        <w:rPr>
          <w:lang w:val="en-ZA"/>
        </w:rPr>
        <w:t>The implementation of a PPP- and services-based approach by an NMHS</w:t>
      </w:r>
      <w:r>
        <w:rPr>
          <w:lang w:val="en-ZA"/>
        </w:rPr>
        <w:t xml:space="preserve"> was identified as a potential solution to address the constant lack of budgets by NHMS. As this </w:t>
      </w:r>
      <w:r w:rsidR="005C3A6F" w:rsidRPr="00F36608">
        <w:rPr>
          <w:lang w:val="en-ZA"/>
        </w:rPr>
        <w:t xml:space="preserve"> would ideally lead to the provision of commercial-grade tailored services to the various weather-, water-, and climate-impacted sectors of the national economy. Such customized services would be provided on a user pay basis. This would result in a revenue stream that could offset in part the annual cost of NMHS operation and help ensure that high-quality products and services remain freely available to the general public. This PPP model is in line with the ambits of the WMO resolution 40, as well as national conventions in most countries that require government departments/agencies to be more commercially oriented to cover operating costs.  Similar programs will benefit from identifying and promoting transnational opportunities for greater regional cooperation and collaboration for multiple benefits, especially on rivers and lakes that are national boundaries. They should also identify and promote regional collaboration </w:t>
      </w:r>
      <w:r w:rsidR="005C3A6F" w:rsidRPr="00F36608">
        <w:rPr>
          <w:lang w:val="en-ZA"/>
        </w:rPr>
        <w:lastRenderedPageBreak/>
        <w:t>on early warnings of HIEs, since these events, especially thunderstorms and tropical cyclones, may track long distances, crossing several international boundaries.</w:t>
      </w:r>
    </w:p>
    <w:p w14:paraId="0B54BD5F" w14:textId="4CF1AB7F" w:rsidR="00647412" w:rsidRDefault="00647412" w:rsidP="00647412">
      <w:pPr>
        <w:pStyle w:val="ListParagraph"/>
        <w:ind w:left="360"/>
        <w:jc w:val="both"/>
        <w:rPr>
          <w:b/>
          <w:lang w:val="en-ZA"/>
        </w:rPr>
      </w:pPr>
    </w:p>
    <w:p w14:paraId="6E4CF3A3" w14:textId="0785EE8A" w:rsidR="00647412" w:rsidRPr="00647412" w:rsidRDefault="00647412" w:rsidP="00647412">
      <w:pPr>
        <w:pStyle w:val="ListParagraph"/>
        <w:ind w:left="360"/>
        <w:jc w:val="both"/>
      </w:pPr>
      <w:r>
        <w:t>Budget limitations for the maintenance of national project equipment and services</w:t>
      </w:r>
      <w:r>
        <w:t xml:space="preserve"> were a consistent challenge and </w:t>
      </w:r>
      <w:r w:rsidRPr="00B31788">
        <w:t>included a lack of sufficient funding to cover operational costs and related expenses, and a lack of authority for retaining revenue.</w:t>
      </w:r>
      <w:r>
        <w:t xml:space="preserve"> While LTAs negotiated through the support of the UNDP CIRDA Team provided possibility of cost sharing opportunities and ensured negotiated prices, these where often too high for continued maintenance by NHMS themselves pointing to a key structural challenge in LDCs. </w:t>
      </w:r>
      <w:r w:rsidRPr="00B31788">
        <w:t xml:space="preserve"> In some countries, for example, aviation fees for weather support go back to the government’s general budget. In addition, NMHS staff are generally not trained with</w:t>
      </w:r>
      <w:r>
        <w:t xml:space="preserve"> the</w:t>
      </w:r>
      <w:r w:rsidRPr="00B31788">
        <w:t xml:space="preserve"> business development skills necessary to develop revenue-producing arrangements with private sector companies</w:t>
      </w:r>
    </w:p>
    <w:p w14:paraId="6BE4BF00" w14:textId="77777777" w:rsidR="00F36608" w:rsidRDefault="00F36608" w:rsidP="00F36608">
      <w:pPr>
        <w:pStyle w:val="ListParagraph"/>
        <w:ind w:left="360"/>
        <w:jc w:val="both"/>
        <w:rPr>
          <w:lang w:val="en-ZA"/>
        </w:rPr>
      </w:pPr>
    </w:p>
    <w:p w14:paraId="21EA0A3E" w14:textId="33F65804" w:rsidR="005C3A6F" w:rsidRDefault="005C3A6F" w:rsidP="00647412">
      <w:pPr>
        <w:pStyle w:val="ListParagraph"/>
        <w:ind w:left="360"/>
        <w:jc w:val="both"/>
      </w:pPr>
      <w:r>
        <w:t>CIRD</w:t>
      </w:r>
      <w:r w:rsidR="00647412">
        <w:t>A</w:t>
      </w:r>
      <w:r>
        <w:t xml:space="preserve"> supported a first-of-a-kind market assessment to identify potential for tailored weather information products, and the local markets for them, in each country (Mills et al., 2016; UNDP, 2018). The assessment (and a subsequent update) points to numerous opportunities for revenue sharing with potential to put NMHSs on a more sustainable financial footing, provided they can deliver quality products and services on an agreed upon schedule. Moreover, the outreach and new arrangements required to generate revenue are not readily achievable by many of the African NMHSs. Interest in public private partnerships and revenue sharing has grown steadily since the 2016 CIRDA report A New Vision, with subsequent reports (Usher et al., 2018) and proposals for new policy directions within WMO (WMO, 2018b).</w:t>
      </w:r>
    </w:p>
    <w:p w14:paraId="0C9B6826" w14:textId="40F7335A" w:rsidR="008D29BF" w:rsidRDefault="008D29BF" w:rsidP="00647412">
      <w:pPr>
        <w:pStyle w:val="ListParagraph"/>
        <w:ind w:left="360"/>
        <w:jc w:val="both"/>
      </w:pPr>
    </w:p>
    <w:p w14:paraId="228DFAB6" w14:textId="115FF866" w:rsidR="008D29BF" w:rsidRDefault="008D29BF" w:rsidP="008D29BF">
      <w:pPr>
        <w:pStyle w:val="ListParagraph"/>
        <w:numPr>
          <w:ilvl w:val="0"/>
          <w:numId w:val="3"/>
        </w:numPr>
        <w:jc w:val="both"/>
      </w:pPr>
      <w:r w:rsidRPr="008D29BF">
        <w:rPr>
          <w:b/>
        </w:rPr>
        <w:t>Knowledge management matters</w:t>
      </w:r>
      <w:r>
        <w:t xml:space="preserve">. </w:t>
      </w:r>
      <w:r>
        <w:t xml:space="preserve">The period during the design and initiation of the CIRDA </w:t>
      </w:r>
      <w:proofErr w:type="spellStart"/>
      <w:r>
        <w:t>Programme</w:t>
      </w:r>
      <w:proofErr w:type="spellEnd"/>
      <w:r>
        <w:t xml:space="preserve"> corresponded with a significant evolution in attitudes among </w:t>
      </w:r>
      <w:proofErr w:type="spellStart"/>
      <w:r>
        <w:t>hydromet</w:t>
      </w:r>
      <w:proofErr w:type="spellEnd"/>
      <w:r>
        <w:t xml:space="preserve"> experts toward engagement with private weather companies. As past failures, including some with considerable donor support, were acknowledged, PPPs came to be seen as worthy of further consideration despite legal, regulatory, and contractual challenges. </w:t>
      </w:r>
      <w:r>
        <w:t xml:space="preserve"> </w:t>
      </w:r>
      <w:r>
        <w:t>A knowledge network brought together an expert team with staff from the 11 CIRDA countries on a regular basis to exchange experiences and address common problems, with specialized training and clinics.</w:t>
      </w:r>
    </w:p>
    <w:p w14:paraId="215F2001" w14:textId="77777777" w:rsidR="008D29BF" w:rsidRDefault="008D29BF" w:rsidP="008D29BF">
      <w:pPr>
        <w:pStyle w:val="ListParagraph"/>
        <w:ind w:left="360"/>
        <w:jc w:val="both"/>
      </w:pPr>
    </w:p>
    <w:p w14:paraId="6679CA5A" w14:textId="3D23A890" w:rsidR="008D29BF" w:rsidRDefault="008D29BF" w:rsidP="008D29BF">
      <w:pPr>
        <w:pStyle w:val="ListParagraph"/>
        <w:ind w:left="360"/>
        <w:jc w:val="both"/>
      </w:pPr>
      <w:r>
        <w:t xml:space="preserve">More recently, WMO documents and officials (Thorpe, 2016) have referred to engagement with private weather companies as not only desirable but also perhaps essential for the survival of NMHSs in LDCs, leading to adoption of a Policy Framework for Public-Private Engagement (WMO, 2018b). Of some relevance to the CIRDA </w:t>
      </w:r>
      <w:proofErr w:type="spellStart"/>
      <w:r>
        <w:t>Programme</w:t>
      </w:r>
      <w:proofErr w:type="spellEnd"/>
      <w:r>
        <w:t xml:space="preserve">, this Framework notes: “There are numerous case studies and practices present in various parts of the community today and examples from other sectors that can inform best practices for effective PPE to mitigate these risks.” WMO also now has an Executive Assistant for Public Private Partnerships to advise the Secretary General. Formal consideration of the issues associated with private sector engagement with NMHSs is planned </w:t>
      </w:r>
      <w:r>
        <w:lastRenderedPageBreak/>
        <w:t xml:space="preserve">for the 18th World Meteorological Congress in June 2019. The World Bank also expressed support for a full services approach and collaboration with the private sector in a 2019 publication, Weathering the Change: How to Improve </w:t>
      </w:r>
      <w:proofErr w:type="spellStart"/>
      <w:r>
        <w:t>Hydromet</w:t>
      </w:r>
      <w:proofErr w:type="spellEnd"/>
      <w:r>
        <w:t xml:space="preserve"> Services in Developing Countries. </w:t>
      </w:r>
      <w:r>
        <w:t xml:space="preserve"> </w:t>
      </w:r>
      <w:r>
        <w:t>The results and lessons from UNDP’s efforts are thus particularly timely and relevant as WMO and other international organizations move toward consideration of new approaches and policies for cooperation with private weather information vendors.</w:t>
      </w:r>
    </w:p>
    <w:p w14:paraId="3E1C8389" w14:textId="77777777" w:rsidR="008D29BF" w:rsidRPr="00647412" w:rsidRDefault="008D29BF" w:rsidP="00647412">
      <w:pPr>
        <w:pStyle w:val="ListParagraph"/>
        <w:ind w:left="360"/>
        <w:jc w:val="both"/>
        <w:rPr>
          <w:lang w:val="en-ZA"/>
        </w:rPr>
      </w:pPr>
    </w:p>
    <w:p w14:paraId="01ACCA96" w14:textId="1C067B06" w:rsidR="0008031E" w:rsidRDefault="0008031E" w:rsidP="0008031E">
      <w:pPr>
        <w:pStyle w:val="ListParagraph"/>
        <w:numPr>
          <w:ilvl w:val="0"/>
          <w:numId w:val="1"/>
        </w:numPr>
        <w:rPr>
          <w:b/>
        </w:rPr>
      </w:pPr>
      <w:r w:rsidRPr="008D29BF">
        <w:rPr>
          <w:b/>
        </w:rPr>
        <w:t>Online resources</w:t>
      </w:r>
    </w:p>
    <w:p w14:paraId="3FAA5F6F" w14:textId="2BBC75D9" w:rsidR="008D29BF" w:rsidRDefault="008D29BF" w:rsidP="008D29BF">
      <w:pPr>
        <w:pStyle w:val="ListParagraph"/>
        <w:ind w:left="360"/>
      </w:pPr>
      <w:hyperlink r:id="rId5" w:history="1">
        <w:r w:rsidRPr="00FD5969">
          <w:rPr>
            <w:rStyle w:val="Hyperlink"/>
          </w:rPr>
          <w:t>http://undp-cirda.blogspot.com</w:t>
        </w:r>
      </w:hyperlink>
      <w:r>
        <w:t xml:space="preserve"> </w:t>
      </w:r>
    </w:p>
    <w:p w14:paraId="7801C1EC" w14:textId="16934061" w:rsidR="008D29BF" w:rsidRPr="008D29BF" w:rsidRDefault="008D29BF" w:rsidP="008D29BF">
      <w:pPr>
        <w:pStyle w:val="ListParagraph"/>
        <w:ind w:left="360"/>
      </w:pPr>
      <w:hyperlink r:id="rId6" w:history="1">
        <w:r w:rsidRPr="00FD5969">
          <w:rPr>
            <w:rStyle w:val="Hyperlink"/>
          </w:rPr>
          <w:t>https://www.adaptation-undp.org/projects/programme-climate-information-resilient-development-africa-cirda</w:t>
        </w:r>
      </w:hyperlink>
      <w:r>
        <w:t xml:space="preserve"> </w:t>
      </w:r>
    </w:p>
    <w:sectPr w:rsidR="008D29BF" w:rsidRPr="008D29BF" w:rsidSect="008175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874D0"/>
    <w:multiLevelType w:val="hybridMultilevel"/>
    <w:tmpl w:val="13D646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620FDA"/>
    <w:multiLevelType w:val="hybridMultilevel"/>
    <w:tmpl w:val="83AA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F64E3B"/>
    <w:multiLevelType w:val="hybridMultilevel"/>
    <w:tmpl w:val="FD34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932EE2"/>
    <w:multiLevelType w:val="hybridMultilevel"/>
    <w:tmpl w:val="F84E78AE"/>
    <w:lvl w:ilvl="0" w:tplc="0409001B">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DBE10F4"/>
    <w:multiLevelType w:val="hybridMultilevel"/>
    <w:tmpl w:val="21BC6C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E9"/>
    <w:rsid w:val="00017AE2"/>
    <w:rsid w:val="0008031E"/>
    <w:rsid w:val="0010440A"/>
    <w:rsid w:val="00106915"/>
    <w:rsid w:val="00163777"/>
    <w:rsid w:val="0018043A"/>
    <w:rsid w:val="001F2432"/>
    <w:rsid w:val="001F5DF3"/>
    <w:rsid w:val="00231C02"/>
    <w:rsid w:val="002A5219"/>
    <w:rsid w:val="00305C16"/>
    <w:rsid w:val="003535AD"/>
    <w:rsid w:val="003E00E9"/>
    <w:rsid w:val="003E740E"/>
    <w:rsid w:val="00445572"/>
    <w:rsid w:val="004A0884"/>
    <w:rsid w:val="004F1878"/>
    <w:rsid w:val="005019E2"/>
    <w:rsid w:val="005A6AE9"/>
    <w:rsid w:val="005B2B03"/>
    <w:rsid w:val="005C3A6F"/>
    <w:rsid w:val="00606C9C"/>
    <w:rsid w:val="00647412"/>
    <w:rsid w:val="00703FCB"/>
    <w:rsid w:val="007176AF"/>
    <w:rsid w:val="00753478"/>
    <w:rsid w:val="00795C12"/>
    <w:rsid w:val="00817531"/>
    <w:rsid w:val="008D29BF"/>
    <w:rsid w:val="008E2ABC"/>
    <w:rsid w:val="008F23F7"/>
    <w:rsid w:val="009301EE"/>
    <w:rsid w:val="009333F9"/>
    <w:rsid w:val="00994EE1"/>
    <w:rsid w:val="009B2BCB"/>
    <w:rsid w:val="00A042C9"/>
    <w:rsid w:val="00A1498F"/>
    <w:rsid w:val="00B178DC"/>
    <w:rsid w:val="00B67A5A"/>
    <w:rsid w:val="00BA2ADF"/>
    <w:rsid w:val="00C03C3C"/>
    <w:rsid w:val="00C65D6F"/>
    <w:rsid w:val="00C7595B"/>
    <w:rsid w:val="00C84D41"/>
    <w:rsid w:val="00D80399"/>
    <w:rsid w:val="00EA3ACB"/>
    <w:rsid w:val="00EC6A96"/>
    <w:rsid w:val="00F322ED"/>
    <w:rsid w:val="00F34E19"/>
    <w:rsid w:val="00F36608"/>
    <w:rsid w:val="00F9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BF327"/>
  <w15:chartTrackingRefBased/>
  <w15:docId w15:val="{EF8AB134-1BDF-B348-82C6-CDFAE166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 (numbered (a)),Bullets,Lapis Bulleted List,Dot pt,F5 List Paragraph,No Spacing1,List Paragraph Char Char Char,Indicator Text,Numbered Para 1,Bullet 1,List Paragraph12,Bullet Points,MAIN CONTENT,L"/>
    <w:basedOn w:val="Normal"/>
    <w:link w:val="ListParagraphChar"/>
    <w:uiPriority w:val="34"/>
    <w:qFormat/>
    <w:rsid w:val="0008031E"/>
    <w:pPr>
      <w:ind w:left="720"/>
      <w:contextualSpacing/>
    </w:pPr>
  </w:style>
  <w:style w:type="character" w:customStyle="1" w:styleId="ListParagraphChar">
    <w:name w:val="List Paragraph Char"/>
    <w:aliases w:val="List Paragraph1 Char,List1 Char,List Paragraph (numbered (a)) Char,Bullets Char,Lapis Bulleted List Char,Dot pt Char,F5 List Paragraph Char,No Spacing1 Char,List Paragraph Char Char Char Char,Indicator Text Char,Numbered Para 1 Char"/>
    <w:link w:val="ListParagraph"/>
    <w:uiPriority w:val="34"/>
    <w:qFormat/>
    <w:rsid w:val="0008031E"/>
  </w:style>
  <w:style w:type="paragraph" w:styleId="FootnoteText">
    <w:name w:val="footnote text"/>
    <w:basedOn w:val="Normal"/>
    <w:link w:val="FootnoteTextChar"/>
    <w:uiPriority w:val="99"/>
    <w:unhideWhenUsed/>
    <w:rsid w:val="005C3A6F"/>
    <w:pPr>
      <w:autoSpaceDE w:val="0"/>
      <w:autoSpaceDN w:val="0"/>
      <w:adjustRightInd w:val="0"/>
    </w:pPr>
    <w:rPr>
      <w:rFonts w:ascii="Arial" w:hAnsi="Arial" w:cs="Arial"/>
      <w:sz w:val="20"/>
      <w:szCs w:val="20"/>
    </w:rPr>
  </w:style>
  <w:style w:type="character" w:customStyle="1" w:styleId="FootnoteTextChar">
    <w:name w:val="Footnote Text Char"/>
    <w:basedOn w:val="DefaultParagraphFont"/>
    <w:link w:val="FootnoteText"/>
    <w:uiPriority w:val="99"/>
    <w:rsid w:val="005C3A6F"/>
    <w:rPr>
      <w:rFonts w:ascii="Arial" w:hAnsi="Arial" w:cs="Arial"/>
      <w:sz w:val="20"/>
      <w:szCs w:val="20"/>
    </w:rPr>
  </w:style>
  <w:style w:type="character" w:styleId="Hyperlink">
    <w:name w:val="Hyperlink"/>
    <w:basedOn w:val="DefaultParagraphFont"/>
    <w:uiPriority w:val="99"/>
    <w:unhideWhenUsed/>
    <w:rsid w:val="008D29BF"/>
    <w:rPr>
      <w:color w:val="0563C1" w:themeColor="hyperlink"/>
      <w:u w:val="single"/>
    </w:rPr>
  </w:style>
  <w:style w:type="character" w:styleId="UnresolvedMention">
    <w:name w:val="Unresolved Mention"/>
    <w:basedOn w:val="DefaultParagraphFont"/>
    <w:uiPriority w:val="99"/>
    <w:semiHidden/>
    <w:unhideWhenUsed/>
    <w:rsid w:val="008D2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46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ptation-undp.org/projects/programme-climate-information-resilient-development-africa-cirda" TargetMode="External"/><Relationship Id="rId5" Type="http://schemas.openxmlformats.org/officeDocument/2006/relationships/hyperlink" Target="http://undp-cirda.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14</Pages>
  <Words>4581</Words>
  <Characters>26845</Characters>
  <Application>Microsoft Office Word</Application>
  <DocSecurity>0</DocSecurity>
  <Lines>688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Xilotl</dc:creator>
  <cp:keywords/>
  <dc:description/>
  <cp:lastModifiedBy>Montserrat Xilotl</cp:lastModifiedBy>
  <cp:revision>42</cp:revision>
  <dcterms:created xsi:type="dcterms:W3CDTF">2019-12-10T01:12:00Z</dcterms:created>
  <dcterms:modified xsi:type="dcterms:W3CDTF">2019-12-13T02:25:00Z</dcterms:modified>
</cp:coreProperties>
</file>